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박재흥</w:t>
      </w:r>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r>
        <w:rPr>
          <w:rFonts w:ascii="바탕체" w:eastAsia="바탕체" w:hAnsi="바탕체" w:cs="Times New Roman" w:hint="eastAsia"/>
          <w:sz w:val="24"/>
          <w:szCs w:val="28"/>
        </w:rPr>
        <w:t>Jaeheung Park</w:t>
      </w:r>
      <w:r w:rsidR="00F03A70" w:rsidRPr="00ED085A">
        <w:rPr>
          <w:rFonts w:ascii="바탕체" w:eastAsia="바탕체" w:hAnsi="바탕체" w:cs="Times New Roman"/>
          <w:sz w:val="24"/>
        </w:rPr>
        <w:t xml:space="preserve">, </w:t>
      </w:r>
      <w:bookmarkStart w:id="0" w:name="_Hlk213249994"/>
      <w:r w:rsidRPr="00ED085A">
        <w:rPr>
          <w:rFonts w:ascii="바탕체" w:eastAsia="바탕체" w:hAnsi="바탕체" w:hint="eastAsia"/>
          <w:w w:val="105"/>
          <w:sz w:val="24"/>
        </w:rPr>
        <w:t>Kyungwon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CA7653B"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ookback=5~90일)을 동일한 설계하에 비교한 결과, 시간 창구별로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금융 변수, 그리고 뉴스량과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r w:rsidRPr="00E46029">
        <w:rPr>
          <w:rFonts w:ascii="바탕체" w:eastAsia="바탕체" w:hAnsi="바탕체" w:cs="Times New Roman" w:hint="eastAsia"/>
          <w:b/>
          <w:bCs/>
          <w:sz w:val="28"/>
          <w:szCs w:val="28"/>
        </w:rPr>
        <w:lastRenderedPageBreak/>
        <w:t>Ⅰ</w:t>
      </w:r>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일상생활 뿐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 으로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선매입하려는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hint="eastAsia"/>
          <w:sz w:val="20"/>
          <w:szCs w:val="20"/>
        </w:rPr>
        <w:t>한규식</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오인정</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김우주</w:t>
      </w:r>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6E0F1671"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환율 변동을 단일 시계열로 보지 않고, 시간 창구(</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3E5F9E45"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창구에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환위험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Ⅱ</w:t>
      </w:r>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sz w:val="20"/>
          <w:szCs w:val="20"/>
        </w:rPr>
        <w:t>Plakandaras,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Cao et al. (2020) 또한 실물자산 변수(금</w:t>
      </w:r>
      <w:r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 xml:space="preserve">유가)와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다양한 머신러닝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(2021)은 USD/CNY 환율 뿐만 아니라 나스닥, 다우존스, 상하이 종합지수, 항셍지수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비선형적이며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연합인포맥스와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예측을 수행하여 평균 Hit Ratio 50.96%를 기록하였으며, 오인정</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김우주(2022)는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단변량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정량화하는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 를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Perdigones</w:t>
      </w:r>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Tiozzo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r w:rsidR="009508E4" w:rsidRPr="00E11D82">
        <w:rPr>
          <w:rFonts w:ascii="바탕체" w:eastAsia="바탕체" w:hAnsi="바탕체" w:cs="Times New Roman"/>
          <w:sz w:val="20"/>
          <w:szCs w:val="20"/>
        </w:rPr>
        <w:t>Blanqué</w:t>
      </w:r>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Cherief, Le Guenedal,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Stagnol</w:t>
      </w:r>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시장참여자의 심리적 반응을 정량화하려는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따르면 감성 분석(Sentiment Analysis)은 비정형 텍스트에 내재된 정서적 톤을 수치화하여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 xml:space="preserve">Gelbukh,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머신러닝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파인튜닝이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FinBERT와 같이 금융 특화 언어모델이 등장하여 기존 머신러닝 접근 대비 성능이 크게 향상되었으며</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 xml:space="preserve">Nasiopoulos,  Roumeliotis, Sakas, Toudas,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Reklitis</w:t>
      </w:r>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r w:rsidR="000205A2" w:rsidRPr="00B45CBA">
        <w:rPr>
          <w:rFonts w:ascii="바탕체" w:eastAsia="바탕체" w:hAnsi="바탕체" w:cs="Times New Roman"/>
          <w:sz w:val="20"/>
          <w:szCs w:val="20"/>
        </w:rPr>
        <w:t xml:space="preserve">FiQA·Financial PhraseBank와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FinBERT와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머신러닝 기법 대신, LLM(GPT-4o-mini) 을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Vijayvergia, </w:t>
      </w:r>
      <w:r w:rsidRPr="00B45CBA">
        <w:rPr>
          <w:rFonts w:ascii="바탕체" w:eastAsia="바탕체" w:hAnsi="바탕체" w:cs="Times New Roman" w:hint="eastAsia"/>
          <w:sz w:val="20"/>
          <w:szCs w:val="20"/>
        </w:rPr>
        <w:t xml:space="preserve">and </w:t>
      </w:r>
      <w:r w:rsidRPr="00B45CBA">
        <w:rPr>
          <w:rFonts w:ascii="바탕체" w:eastAsia="바탕체" w:hAnsi="바탕체" w:cs="Times New Roman"/>
          <w:sz w:val="20"/>
          <w:szCs w:val="20"/>
        </w:rPr>
        <w:t>Anastasiu</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긍·부정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또한 정가연</w:t>
      </w:r>
      <w:r w:rsidR="00A3086D" w:rsidRPr="00B45CBA">
        <w:rPr>
          <w:rFonts w:ascii="바탕체" w:eastAsia="바탕체" w:hAnsi="바탕체" w:cs="Times New Roman" w:hint="eastAsia"/>
          <w:sz w:val="20"/>
          <w:szCs w:val="20"/>
        </w:rPr>
        <w:t xml:space="preserve">, 이혁제, 이준영, 이제혁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ing, Shi, Deng, Faroog,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은 Investing.com과 ForexEmpire의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정량화함으로써,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Plakandaras et al.(2015)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lastRenderedPageBreak/>
              <w:t>연합인포맥스</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스왑</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Cao et al.(2020)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미기재</w:t>
            </w:r>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Qureshi(2025)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Wang et al.(2021)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항셍</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Mohan et al.(2019)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Jing et al.(2021)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정가연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Ding et al.(2025)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Investing.com, ForexEmpire</w:t>
            </w:r>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Ⅲ</w:t>
      </w:r>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r w:rsidR="003D4C13" w:rsidRPr="00EA630F">
        <w:rPr>
          <w:rFonts w:ascii="바탕체" w:eastAsia="바탕체" w:hAnsi="바탕체" w:cs="Times New Roman"/>
          <w:sz w:val="20"/>
          <w:szCs w:val="20"/>
        </w:rPr>
        <w:t xml:space="preserve">Plakandaras,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Vijayvergia, </w:t>
      </w:r>
      <w:r w:rsidR="000254CF" w:rsidRPr="00EA630F">
        <w:rPr>
          <w:rFonts w:ascii="바탕체" w:eastAsia="바탕체" w:hAnsi="바탕체" w:cs="Times New Roman" w:hint="eastAsia"/>
          <w:sz w:val="20"/>
          <w:szCs w:val="20"/>
        </w:rPr>
        <w:t xml:space="preserve">and </w:t>
      </w:r>
      <w:r w:rsidR="000254CF" w:rsidRPr="00EA630F">
        <w:rPr>
          <w:rFonts w:ascii="바탕체" w:eastAsia="바탕체" w:hAnsi="바탕체" w:cs="Times New Roman"/>
          <w:sz w:val="20"/>
          <w:szCs w:val="20"/>
        </w:rPr>
        <w:t>Anastasiu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정가</w:t>
      </w:r>
      <w:r w:rsidR="000254CF" w:rsidRPr="00EA630F">
        <w:rPr>
          <w:rFonts w:ascii="바탕체" w:eastAsia="바탕체" w:hAnsi="바탕체" w:cs="Times New Roman" w:hint="eastAsia"/>
          <w:sz w:val="20"/>
          <w:szCs w:val="20"/>
        </w:rPr>
        <w:t xml:space="preserve">연, 이혁제, 이준영, 이제혁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Faroog,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7CF724A8"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수치화하여,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30464162"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2) 감성분석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 그 결과, 뉴스는 크게 세 가지 범주로 구분되었다: 원/달러 환율과 직접적으로 관련된 뉴스 22,756건, 간접적으로 관련된 뉴스 7,320건, 그리고 관련이 없는 뉴스 5,557건으로 나누어졌다. 이 과정에서 “직접 및 간접 관련 뉴스”에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전처리 과정의 일환으로 뉴스 </w:t>
      </w:r>
      <w:r w:rsidRPr="007A33D3">
        <w:rPr>
          <w:rFonts w:ascii="바탕체" w:eastAsia="바탕체" w:hAnsi="바탕체" w:cs="Times New Roman"/>
          <w:sz w:val="20"/>
          <w:szCs w:val="20"/>
        </w:rPr>
        <w:lastRenderedPageBreak/>
        <w:t xml:space="preserve">본문 요약을 수행하였다. 요약 모델은 HuggingFace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ROUGE는 "Recall-Oriented Understudy of Gisting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ROUGE-L은 가장 긴 공통 부분수열을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Bopaiah, Chembachere,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F1 는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4AF2F2C4"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감성</w:t>
      </w:r>
      <w:r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긴축적 환경을 의미한다. 중립 감성은 환율 방향에 대한 명확한 판단이 어려운 경우를 나타낸다. GPT-4o-mini에는 few-shot 프롬프트 튜닝을 적용하여, 별도의 파인튜닝 없이 금융 문맥에 특화된 감성 분류가 가능하도록 하였다. 분류 결과는 긍정=+1, 중립=0, 부정=-1로 수치화하였으며, 이를 기반으로 날짜별 평균 감성 점수를 산출하여 일별 감성 지표(</w:t>
      </w:r>
      <w:r w:rsidR="00151B1E">
        <w:rPr>
          <w:rFonts w:ascii="바탕체" w:eastAsia="바탕체" w:hAnsi="바탕체" w:cs="Times New Roman" w:hint="eastAsia"/>
          <w:sz w:val="20"/>
          <w:szCs w:val="20"/>
        </w:rPr>
        <w:t>D</w:t>
      </w:r>
      <w:r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Pr="007A33D3">
        <w:rPr>
          <w:rFonts w:ascii="바탕체" w:eastAsia="바탕체" w:hAnsi="바탕체" w:cs="Times New Roman"/>
          <w:sz w:val="20"/>
          <w:szCs w:val="20"/>
        </w:rPr>
        <w:t>ndex)를 구축하였다.</w:t>
      </w: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7043A4E1" w14:textId="77777777" w:rsidR="00E13A92" w:rsidRDefault="00E13A92" w:rsidP="007A33D3">
      <w:pPr>
        <w:wordWrap/>
        <w:spacing w:line="420" w:lineRule="auto"/>
        <w:ind w:firstLineChars="100" w:firstLine="200"/>
        <w:jc w:val="both"/>
        <w:rPr>
          <w:rFonts w:ascii="바탕체" w:eastAsia="바탕체" w:hAnsi="바탕체" w:cs="Times New Roman"/>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데이터 전처리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변수뿐만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리스크지표, 그리고 사건과 심리를 측정하는 이벤트와 감정(네이버 뉴스) 정보까지 총 8개 블록으로 구성하였다. 월 단위로 제공되는 거시지표는 발표 기준을 반영한 대표값으로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w:t>
            </w:r>
            <w:r w:rsidRPr="0075510A">
              <w:rPr>
                <w:rStyle w:val="af3"/>
                <w:rFonts w:ascii="바탕체" w:eastAsia="바탕체" w:hAnsi="바탕체" w:hint="eastAsia"/>
                <w:sz w:val="18"/>
                <w:szCs w:val="18"/>
              </w:rPr>
              <w:lastRenderedPageBreak/>
              <w:t>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lastRenderedPageBreak/>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lastRenderedPageBreak/>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lastRenderedPageBreak/>
              <w:t>2020.1</w:t>
            </w:r>
            <w:r w:rsidRPr="0075510A">
              <w:rPr>
                <w:rFonts w:ascii="바탕체" w:eastAsia="바탕체" w:hAnsi="바탕체"/>
                <w:sz w:val="18"/>
                <w:szCs w:val="18"/>
              </w:rPr>
              <w:t>–</w:t>
            </w:r>
            <w:r w:rsidRPr="0075510A">
              <w:rPr>
                <w:rFonts w:ascii="바탕체" w:eastAsia="바탕체" w:hAnsi="바탕체" w:hint="eastAsia"/>
                <w:sz w:val="18"/>
                <w:szCs w:val="18"/>
              </w:rPr>
              <w:lastRenderedPageBreak/>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lastRenderedPageBreak/>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w:t>
            </w:r>
            <w:r w:rsidRPr="0075510A">
              <w:rPr>
                <w:rFonts w:ascii="바탕체" w:eastAsia="바탕체" w:hAnsi="바탕체" w:cs="맑은 고딕" w:hint="eastAsia"/>
                <w:sz w:val="18"/>
                <w:szCs w:val="18"/>
              </w:rPr>
              <w:lastRenderedPageBreak/>
              <w:t>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lastRenderedPageBreak/>
              <w:t xml:space="preserve">KOSPI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lastRenderedPageBreak/>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KOSDAQ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lastRenderedPageBreak/>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events_cnt, tone_mean, tone_kor_mean, gkg_doc_cnt, gkg_kr_loc_cnt</w:t>
            </w:r>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&lt;표 3&gt;은 본 연구에서 사용된 데이터의 일 단위로 정렬된 최종 통합 패널의 기술통계량을 제시한다(N=1,186). 환율 종가의 평균과 중앙값은 각각 약 1,256원과 1,265원으로, 상단 꼬리가 두터운 분포를 보인다(최대 1,472원). 시장과 리스크 지표는 코로나19와 에너지 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원자재 관련 변수의 단위는 국제 표준에 따라 산정되었으며, WTI 원유 가격은 배럴(USD/barrel), 금 가격은 트로이온스(USD/troy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 xml:space="preserve">가격은 톤(USD/metric ton) 단위로 표시된다. 이는 에너지 및 금속 원자재 가격의 국제 거래 </w:t>
      </w:r>
      <w:r w:rsidRPr="00E77912">
        <w:rPr>
          <w:rFonts w:ascii="바탕체" w:eastAsia="바탕체" w:hAnsi="바탕체" w:cs="Times New Roman"/>
          <w:sz w:val="20"/>
          <w:szCs w:val="20"/>
        </w:rPr>
        <w:lastRenderedPageBreak/>
        <w:t>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변수명</w:t>
            </w:r>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347.3367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3718.333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3843.787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4183.535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수(events_cnt)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톤(events_tone_mean)</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톤(events_tone_kor_mean)</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수(gkg_doc_cnt)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수(gkg_kr_loc)</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w:t>
      </w:r>
      <w:r w:rsidRPr="007A359A">
        <w:rPr>
          <w:rFonts w:ascii="바탕체" w:eastAsia="바탕체" w:hAnsi="바탕체" w:cs="Times New Roman"/>
          <w:sz w:val="20"/>
          <w:szCs w:val="20"/>
        </w:rPr>
        <w:lastRenderedPageBreak/>
        <w:t>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변수(예: 정책금리, 소비자물가지수(CPI), 생산자물가지수(PPI), 경상수지, 통화량(M1, M2))는 해당 월 발표 기준으로 월간 대표값을 설정하여, 해당 월의 모든 거래일에 동일하게 반영되도록 병합하였다.</w:t>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결측치 처리이다. 뉴스 감성 데이터에서만 결측치가 발생했으며, 2020–2024년 기간 동안 총 13일치의 뉴스 감정 값이 결측되었다. 해당 결측치는 분석의 일관성을 유지하기 위해 0으로 대체하였다. 다른 변수들에서는 결측치가 없었고, 별도의 보정 과정은 필요하지 않았다. 이와 같은 절차를 통해 모든 데이터는 일 단위로 정렬된 통합형 시계열 데이터프레임으로 구성하였다.</w:t>
      </w:r>
    </w:p>
    <w:p w14:paraId="7EBA6730" w14:textId="2833BE86"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정규화이다. 최종 데이터는 1,186개의 관측치를 기반으로 학습(80%)과 테스트(20%) 데이터로 분할하였으며, 모든 수치형 변수는 RobustScaler로 정규화하였다. RobustScaler는 중앙값과 사분위 범위를 활용하여 극단값(outlier)의 영향을 최소화하는 장점이 있어, 다양한 범위의 데이터에 대해 더욱 효과적인 정규화 방법을 제공한다.</w:t>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w:t>
      </w:r>
      <w:r w:rsidRPr="00AC40A0">
        <w:rPr>
          <w:rFonts w:ascii="바탕체" w:eastAsia="바탕체" w:hAnsi="바탕체" w:cs="Times New Roman"/>
          <w:sz w:val="20"/>
          <w:szCs w:val="20"/>
        </w:rPr>
        <w:lastRenderedPageBreak/>
        <w:t>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r w:rsidRPr="00AC40A0">
        <w:rPr>
          <w:rFonts w:ascii="바탕체" w:eastAsia="바탕체" w:hAnsi="바탕체" w:cs="Times New Roman"/>
          <w:sz w:val="20"/>
          <w:szCs w:val="20"/>
        </w:rPr>
        <w:t>Schmidhuber</w:t>
      </w:r>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 xml:space="preserve">GRU는 update/reset의 두 게이트로 구조를 단순화하여 매개변수 수를 절감하면서도 LSTM에 근접한 성능을 보이며, 동일한 데이터·에폭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r w:rsidR="00E13A92">
        <w:rPr>
          <w:rFonts w:ascii="바탕체" w:eastAsia="바탕체" w:hAnsi="바탕체" w:cs="Times New Roman" w:hint="eastAsia"/>
          <w:sz w:val="20"/>
          <w:szCs w:val="20"/>
        </w:rPr>
        <w:t xml:space="preserve">Agusting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예측정확도가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합성곱–순환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 및 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합성곱을 통해 시계열의 단주기·국소적 급등락, 스파이크, 군집 변동 등 미시 패턴을 전처리 단계에서 추출하고, 그 고수준 특징 맵을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LSTM/GRU는 금리와 물가 등 저주파 구조 신호의 누적 효과를, CNN은 VIX/OVX 급등, 이벤트 카운트 급증, 감정 급변 등 고주파 충격을 요약한다. 결합 시 다중 주기성(Multi-horizon Dynamics)을 공시적으로 반영한다. 또한, 원자재와 리스크 지표의 우측 장꼬리와 이벤트와 감정의 이질적 스케일은 합성곱, 풀링, 배치정규화로 1차 완충되고,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에폭에서도 수렴이 빠르며, 과적합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lastRenderedPageBreak/>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MedAE (Median Absolute Error), MedAPE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MSPE는 예측 오차를 실제값으로 정규화한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정확성뿐만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MAE는 예측값과 실제값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MAPE는 절대 오차를 실제값으로 나눈 뒤 백분율로 환산한 값이다. 이를 통해 모델의 오차를 직관적으로 이해할 수 있으며, 비율 오차를 기반으로 예측 성능을 평가할 수 있다. 그러나 실제값이 0이거나 매우 작은 경우에는 무한대의 값이 발생할 수 있어 이 지표의 </w:t>
      </w:r>
      <w:r w:rsidRPr="00AC40A0">
        <w:rPr>
          <w:rFonts w:ascii="바탕체" w:eastAsia="바탕체" w:hAnsi="바탕체" w:cs="Times New Roman"/>
          <w:sz w:val="20"/>
          <w:szCs w:val="20"/>
        </w:rPr>
        <w:lastRenderedPageBreak/>
        <w:t>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MedAE는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MedAPE는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정확도뿐만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MedAE와 MedAPE는 이상치가 많은 비정상적인 환율 변동에도 강건하고 안정적인 예측을 확인하는 데 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r w:rsidRPr="004A2D53">
        <w:rPr>
          <w:rFonts w:ascii="바탕체" w:eastAsia="바탕체" w:hAnsi="바탕체" w:cs="Times New Roman" w:hint="eastAsia"/>
          <w:b/>
          <w:bCs/>
          <w:sz w:val="28"/>
          <w:szCs w:val="28"/>
        </w:rPr>
        <w:lastRenderedPageBreak/>
        <w:t>Ⅳ</w:t>
      </w:r>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변수조합과 모델, 그리고 하이퍼파라미터</w:t>
      </w:r>
    </w:p>
    <w:p w14:paraId="7CFF9849" w14:textId="50014F89"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 /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74822BA4" w14:textId="7777777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시드 42, 55, 68을 적용해 3회 반복 학습을 수행하였고, 보고치는 이들의 산술평균으로 제시하였다. 입력 특성은 모든 실험에서 RobustScaler로 정규화하였다. 본 스케일러는 중앙값과 사분위 범위를 사용하여 극단값(outlier)에 대한 민감도를 낮추므로, 고변동과 장꼬리 분포를 보이는 금융 시계열의 스케일 불안정성을 완충하는 데 적합하다.</w:t>
      </w:r>
    </w:p>
    <w:p w14:paraId="40D12DFC" w14:textId="7777777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5AA6FA43"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64 → 32 유닛의 2층 순환 스택으로 구성하고, 층 사이에 Dropout=0.1을 적용하여 과적합을 억제하였다. CNN-LSTM/CNN-GRU는 입력 시계열에 1D 합성곱(Conv1D, kernel_size=3, causal padding, ReLU)을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LSTM(64→32) 또는 GRU(64→32) 블록으로 중장기 의존성을 학습하도록 구성하였다. 모든 모델의 출력층은 Dense(1)이며, 손실함수는 MSE로 </w:t>
      </w:r>
      <w:r w:rsidRPr="00D100F9">
        <w:rPr>
          <w:rFonts w:ascii="바탕체" w:eastAsia="바탕체" w:hAnsi="바탕체" w:cs="Times New Roman"/>
          <w:sz w:val="20"/>
          <w:szCs w:val="20"/>
        </w:rPr>
        <w:lastRenderedPageBreak/>
        <w:t xml:space="preserve">고정하였다. 최적화, 배치 크기, 에폭, 조기 종료 등 세부 학습 하이퍼파라미터는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A15FFF"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b/>
          <w:bCs/>
          <w:sz w:val="18"/>
          <w:szCs w:val="18"/>
        </w:rPr>
        <w:t xml:space="preserve">&lt;표 </w:t>
      </w:r>
      <w:r w:rsidR="00CF6855">
        <w:rPr>
          <w:rFonts w:ascii="바탕체" w:eastAsia="바탕체" w:hAnsi="바탕체" w:cs="맑은 고딕" w:hint="eastAsia"/>
          <w:b/>
          <w:bCs/>
          <w:sz w:val="18"/>
          <w:szCs w:val="18"/>
        </w:rPr>
        <w:t>4</w:t>
      </w:r>
      <w:r w:rsidRPr="00A15FFF">
        <w:rPr>
          <w:rFonts w:ascii="바탕체" w:eastAsia="바탕체" w:hAnsi="바탕체" w:cs="맑은 고딕"/>
          <w:b/>
          <w:bCs/>
          <w:sz w:val="18"/>
          <w:szCs w:val="18"/>
        </w:rPr>
        <w:t xml:space="preserve">&gt; </w:t>
      </w:r>
      <w:r w:rsidR="00CF0BE6">
        <w:rPr>
          <w:rFonts w:ascii="바탕체" w:eastAsia="바탕체" w:hAnsi="바탕체" w:cs="맑은 고딕" w:hint="eastAsia"/>
          <w:b/>
          <w:bCs/>
          <w:sz w:val="18"/>
          <w:szCs w:val="18"/>
        </w:rPr>
        <w:t>딥러닝 아키텍처 별</w:t>
      </w:r>
      <w:r w:rsidRPr="00A15FFF">
        <w:rPr>
          <w:rFonts w:ascii="바탕체" w:eastAsia="바탕체" w:hAnsi="바탕체" w:cs="맑은 고딕"/>
          <w:b/>
          <w:bCs/>
          <w:sz w:val="18"/>
          <w:szCs w:val="18"/>
        </w:rPr>
        <w:t xml:space="preserve"> 세부 하이퍼파라미터</w:t>
      </w:r>
    </w:p>
    <w:tbl>
      <w:tblPr>
        <w:tblStyle w:val="af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4"/>
        <w:gridCol w:w="2835"/>
      </w:tblGrid>
      <w:tr w:rsidR="008F1E88" w14:paraId="380456C3" w14:textId="77777777" w:rsidTr="00CA5300">
        <w:trPr>
          <w:jc w:val="center"/>
        </w:trPr>
        <w:tc>
          <w:tcPr>
            <w:tcW w:w="1667" w:type="pct"/>
            <w:tcBorders>
              <w:top w:val="single" w:sz="4" w:space="0" w:color="auto"/>
              <w:bottom w:val="single" w:sz="4" w:space="0" w:color="auto"/>
            </w:tcBorders>
            <w:vAlign w:val="center"/>
          </w:tcPr>
          <w:p w14:paraId="471F32C6"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알고리즘</w:t>
            </w:r>
          </w:p>
        </w:tc>
        <w:tc>
          <w:tcPr>
            <w:tcW w:w="1666" w:type="pct"/>
            <w:tcBorders>
              <w:top w:val="single" w:sz="4" w:space="0" w:color="auto"/>
              <w:bottom w:val="single" w:sz="4" w:space="0" w:color="auto"/>
            </w:tcBorders>
            <w:vAlign w:val="center"/>
          </w:tcPr>
          <w:p w14:paraId="12EBC221"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주요</w:t>
            </w:r>
            <w:r w:rsidRPr="00A15FFF">
              <w:rPr>
                <w:rFonts w:ascii="바탕체" w:eastAsia="바탕체" w:hAnsi="바탕체"/>
                <w:b/>
                <w:bCs/>
                <w:sz w:val="18"/>
                <w:szCs w:val="18"/>
              </w:rPr>
              <w:t xml:space="preserve"> </w:t>
            </w:r>
            <w:r w:rsidRPr="00A15FFF">
              <w:rPr>
                <w:rFonts w:ascii="바탕체" w:eastAsia="바탕체" w:hAnsi="바탕체" w:cs="맑은 고딕" w:hint="eastAsia"/>
                <w:b/>
                <w:bCs/>
                <w:sz w:val="18"/>
                <w:szCs w:val="18"/>
              </w:rPr>
              <w:t>파라미터</w:t>
            </w:r>
          </w:p>
        </w:tc>
        <w:tc>
          <w:tcPr>
            <w:tcW w:w="1667" w:type="pct"/>
            <w:tcBorders>
              <w:top w:val="single" w:sz="4" w:space="0" w:color="auto"/>
              <w:bottom w:val="single" w:sz="4" w:space="0" w:color="auto"/>
            </w:tcBorders>
            <w:vAlign w:val="center"/>
          </w:tcPr>
          <w:p w14:paraId="79832A8D"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값</w:t>
            </w:r>
          </w:p>
        </w:tc>
      </w:tr>
      <w:tr w:rsidR="008F1E88" w14:paraId="2274C8BC" w14:textId="77777777" w:rsidTr="00CA5300">
        <w:trPr>
          <w:jc w:val="center"/>
        </w:trPr>
        <w:tc>
          <w:tcPr>
            <w:tcW w:w="1667" w:type="pct"/>
            <w:vMerge w:val="restart"/>
            <w:tcBorders>
              <w:top w:val="single" w:sz="4" w:space="0" w:color="auto"/>
            </w:tcBorders>
            <w:vAlign w:val="center"/>
          </w:tcPr>
          <w:p w14:paraId="1981544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LSTM</w:t>
            </w:r>
          </w:p>
        </w:tc>
        <w:tc>
          <w:tcPr>
            <w:tcW w:w="1666" w:type="pct"/>
            <w:tcBorders>
              <w:top w:val="single" w:sz="4" w:space="0" w:color="auto"/>
            </w:tcBorders>
            <w:vAlign w:val="center"/>
          </w:tcPr>
          <w:p w14:paraId="118AEEA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667" w:type="pct"/>
            <w:tcBorders>
              <w:top w:val="single" w:sz="4" w:space="0" w:color="auto"/>
            </w:tcBorders>
            <w:vAlign w:val="center"/>
          </w:tcPr>
          <w:p w14:paraId="19F3363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2167A9BB" w14:textId="77777777" w:rsidTr="00CA5300">
        <w:trPr>
          <w:jc w:val="center"/>
        </w:trPr>
        <w:tc>
          <w:tcPr>
            <w:tcW w:w="1667" w:type="pct"/>
            <w:vMerge/>
            <w:vAlign w:val="center"/>
          </w:tcPr>
          <w:p w14:paraId="7545907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08C3F99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614B50C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1A714B8B" w14:textId="77777777" w:rsidTr="00CA5300">
        <w:trPr>
          <w:jc w:val="center"/>
        </w:trPr>
        <w:tc>
          <w:tcPr>
            <w:tcW w:w="1667" w:type="pct"/>
            <w:vMerge/>
            <w:tcBorders>
              <w:bottom w:val="single" w:sz="4" w:space="0" w:color="auto"/>
            </w:tcBorders>
            <w:vAlign w:val="center"/>
          </w:tcPr>
          <w:p w14:paraId="20E73BEF"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61F300D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4274EB3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6AE836B8" w14:textId="77777777" w:rsidTr="00CA5300">
        <w:trPr>
          <w:jc w:val="center"/>
        </w:trPr>
        <w:tc>
          <w:tcPr>
            <w:tcW w:w="1667" w:type="pct"/>
            <w:vMerge w:val="restart"/>
            <w:tcBorders>
              <w:top w:val="single" w:sz="4" w:space="0" w:color="auto"/>
              <w:bottom w:val="single" w:sz="4" w:space="0" w:color="auto"/>
            </w:tcBorders>
            <w:vAlign w:val="center"/>
          </w:tcPr>
          <w:p w14:paraId="076BD8C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GRU</w:t>
            </w:r>
          </w:p>
        </w:tc>
        <w:tc>
          <w:tcPr>
            <w:tcW w:w="1666" w:type="pct"/>
            <w:tcBorders>
              <w:top w:val="single" w:sz="4" w:space="0" w:color="auto"/>
            </w:tcBorders>
            <w:vAlign w:val="center"/>
          </w:tcPr>
          <w:p w14:paraId="4F69315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667" w:type="pct"/>
            <w:tcBorders>
              <w:top w:val="single" w:sz="4" w:space="0" w:color="auto"/>
            </w:tcBorders>
            <w:vAlign w:val="center"/>
          </w:tcPr>
          <w:p w14:paraId="11970D5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4C87846C" w14:textId="77777777" w:rsidTr="00CA5300">
        <w:trPr>
          <w:jc w:val="center"/>
        </w:trPr>
        <w:tc>
          <w:tcPr>
            <w:tcW w:w="1667" w:type="pct"/>
            <w:vMerge/>
            <w:tcBorders>
              <w:bottom w:val="single" w:sz="4" w:space="0" w:color="auto"/>
            </w:tcBorders>
            <w:vAlign w:val="center"/>
          </w:tcPr>
          <w:p w14:paraId="698828C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27923955"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2FAE4B32"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35975A01" w14:textId="77777777" w:rsidTr="00CA5300">
        <w:trPr>
          <w:jc w:val="center"/>
        </w:trPr>
        <w:tc>
          <w:tcPr>
            <w:tcW w:w="1667" w:type="pct"/>
            <w:vMerge/>
            <w:tcBorders>
              <w:bottom w:val="single" w:sz="4" w:space="0" w:color="auto"/>
            </w:tcBorders>
            <w:vAlign w:val="center"/>
          </w:tcPr>
          <w:p w14:paraId="05EFF31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614E44C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12B1445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7B13F630" w14:textId="77777777" w:rsidTr="00CA5300">
        <w:trPr>
          <w:jc w:val="center"/>
        </w:trPr>
        <w:tc>
          <w:tcPr>
            <w:tcW w:w="1667" w:type="pct"/>
            <w:vMerge w:val="restart"/>
            <w:tcBorders>
              <w:top w:val="single" w:sz="4" w:space="0" w:color="auto"/>
              <w:bottom w:val="single" w:sz="4" w:space="0" w:color="auto"/>
            </w:tcBorders>
            <w:vAlign w:val="center"/>
          </w:tcPr>
          <w:p w14:paraId="0A64AC2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CNN-LSTM</w:t>
            </w:r>
          </w:p>
        </w:tc>
        <w:tc>
          <w:tcPr>
            <w:tcW w:w="1666" w:type="pct"/>
            <w:tcBorders>
              <w:top w:val="single" w:sz="4" w:space="0" w:color="auto"/>
            </w:tcBorders>
            <w:vAlign w:val="center"/>
          </w:tcPr>
          <w:p w14:paraId="532C710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667" w:type="pct"/>
            <w:tcBorders>
              <w:top w:val="single" w:sz="4" w:space="0" w:color="auto"/>
            </w:tcBorders>
            <w:vAlign w:val="center"/>
          </w:tcPr>
          <w:p w14:paraId="6AF95A8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66CDDAFE" w14:textId="77777777" w:rsidTr="00CA5300">
        <w:trPr>
          <w:jc w:val="center"/>
        </w:trPr>
        <w:tc>
          <w:tcPr>
            <w:tcW w:w="1667" w:type="pct"/>
            <w:vMerge/>
            <w:tcBorders>
              <w:bottom w:val="single" w:sz="4" w:space="0" w:color="auto"/>
            </w:tcBorders>
            <w:vAlign w:val="center"/>
          </w:tcPr>
          <w:p w14:paraId="47D8925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5A72D3A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667" w:type="pct"/>
            <w:vAlign w:val="center"/>
          </w:tcPr>
          <w:p w14:paraId="022F2C9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70C1B6AE" w14:textId="77777777" w:rsidTr="00CA5300">
        <w:trPr>
          <w:jc w:val="center"/>
        </w:trPr>
        <w:tc>
          <w:tcPr>
            <w:tcW w:w="1667" w:type="pct"/>
            <w:vMerge/>
            <w:tcBorders>
              <w:bottom w:val="single" w:sz="4" w:space="0" w:color="auto"/>
            </w:tcBorders>
            <w:vAlign w:val="center"/>
          </w:tcPr>
          <w:p w14:paraId="02572915"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4CFB6D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667" w:type="pct"/>
            <w:vAlign w:val="center"/>
          </w:tcPr>
          <w:p w14:paraId="0FA6100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ReLU</w:t>
            </w:r>
          </w:p>
        </w:tc>
      </w:tr>
      <w:tr w:rsidR="008F1E88" w14:paraId="432BD3F7" w14:textId="77777777" w:rsidTr="00CA5300">
        <w:trPr>
          <w:jc w:val="center"/>
        </w:trPr>
        <w:tc>
          <w:tcPr>
            <w:tcW w:w="1667" w:type="pct"/>
            <w:vMerge/>
            <w:tcBorders>
              <w:bottom w:val="single" w:sz="4" w:space="0" w:color="auto"/>
            </w:tcBorders>
            <w:vAlign w:val="center"/>
          </w:tcPr>
          <w:p w14:paraId="528A1EC1"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17CAC18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667" w:type="pct"/>
            <w:vAlign w:val="center"/>
          </w:tcPr>
          <w:p w14:paraId="586F5C11"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67703F8E" w14:textId="77777777" w:rsidTr="00CA5300">
        <w:trPr>
          <w:jc w:val="center"/>
        </w:trPr>
        <w:tc>
          <w:tcPr>
            <w:tcW w:w="1667" w:type="pct"/>
            <w:vMerge/>
            <w:tcBorders>
              <w:bottom w:val="single" w:sz="4" w:space="0" w:color="auto"/>
            </w:tcBorders>
            <w:vAlign w:val="center"/>
          </w:tcPr>
          <w:p w14:paraId="036F71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56C272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LSTM Units</w:t>
            </w:r>
          </w:p>
        </w:tc>
        <w:tc>
          <w:tcPr>
            <w:tcW w:w="1667" w:type="pct"/>
            <w:vAlign w:val="center"/>
          </w:tcPr>
          <w:p w14:paraId="01279AF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06B5D8F5" w14:textId="77777777" w:rsidTr="00CA5300">
        <w:trPr>
          <w:jc w:val="center"/>
        </w:trPr>
        <w:tc>
          <w:tcPr>
            <w:tcW w:w="1667" w:type="pct"/>
            <w:vMerge/>
            <w:tcBorders>
              <w:bottom w:val="single" w:sz="4" w:space="0" w:color="auto"/>
            </w:tcBorders>
            <w:vAlign w:val="center"/>
          </w:tcPr>
          <w:p w14:paraId="58431E4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21ED5A1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29A6FFF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28D40F74" w14:textId="77777777" w:rsidTr="00CA5300">
        <w:trPr>
          <w:jc w:val="center"/>
        </w:trPr>
        <w:tc>
          <w:tcPr>
            <w:tcW w:w="1667" w:type="pct"/>
            <w:vMerge/>
            <w:tcBorders>
              <w:bottom w:val="single" w:sz="4" w:space="0" w:color="auto"/>
            </w:tcBorders>
            <w:vAlign w:val="center"/>
          </w:tcPr>
          <w:p w14:paraId="0950F40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01ADFC1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0AACF8D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522CC807" w14:textId="77777777" w:rsidTr="00CA5300">
        <w:trPr>
          <w:jc w:val="center"/>
        </w:trPr>
        <w:tc>
          <w:tcPr>
            <w:tcW w:w="1667" w:type="pct"/>
            <w:vMerge w:val="restart"/>
            <w:tcBorders>
              <w:top w:val="single" w:sz="4" w:space="0" w:color="auto"/>
            </w:tcBorders>
            <w:vAlign w:val="center"/>
          </w:tcPr>
          <w:p w14:paraId="6A61A57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CNN-GRU</w:t>
            </w:r>
          </w:p>
        </w:tc>
        <w:tc>
          <w:tcPr>
            <w:tcW w:w="1666" w:type="pct"/>
            <w:tcBorders>
              <w:top w:val="single" w:sz="4" w:space="0" w:color="auto"/>
            </w:tcBorders>
            <w:vAlign w:val="center"/>
          </w:tcPr>
          <w:p w14:paraId="3F1539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667" w:type="pct"/>
            <w:tcBorders>
              <w:top w:val="single" w:sz="4" w:space="0" w:color="auto"/>
            </w:tcBorders>
            <w:vAlign w:val="center"/>
          </w:tcPr>
          <w:p w14:paraId="2C44458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5E79B4B6" w14:textId="77777777" w:rsidTr="00CA5300">
        <w:trPr>
          <w:jc w:val="center"/>
        </w:trPr>
        <w:tc>
          <w:tcPr>
            <w:tcW w:w="1667" w:type="pct"/>
            <w:vMerge/>
            <w:vAlign w:val="center"/>
          </w:tcPr>
          <w:p w14:paraId="1B0288EA"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4B4B40B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667" w:type="pct"/>
            <w:vAlign w:val="center"/>
          </w:tcPr>
          <w:p w14:paraId="20FE7FC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56A0A9EE" w14:textId="77777777" w:rsidTr="00CA5300">
        <w:trPr>
          <w:jc w:val="center"/>
        </w:trPr>
        <w:tc>
          <w:tcPr>
            <w:tcW w:w="1667" w:type="pct"/>
            <w:vMerge/>
            <w:vAlign w:val="center"/>
          </w:tcPr>
          <w:p w14:paraId="7E1690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42BCA990"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667" w:type="pct"/>
            <w:vAlign w:val="center"/>
          </w:tcPr>
          <w:p w14:paraId="5AC1C49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ReLU</w:t>
            </w:r>
          </w:p>
        </w:tc>
      </w:tr>
      <w:tr w:rsidR="008F1E88" w14:paraId="47E62000" w14:textId="77777777" w:rsidTr="00CA5300">
        <w:trPr>
          <w:jc w:val="center"/>
        </w:trPr>
        <w:tc>
          <w:tcPr>
            <w:tcW w:w="1667" w:type="pct"/>
            <w:vMerge/>
            <w:vAlign w:val="center"/>
          </w:tcPr>
          <w:p w14:paraId="6CA3E2B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63D0C0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667" w:type="pct"/>
            <w:vAlign w:val="center"/>
          </w:tcPr>
          <w:p w14:paraId="4F032D1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174A284E" w14:textId="77777777" w:rsidTr="00CA5300">
        <w:trPr>
          <w:jc w:val="center"/>
        </w:trPr>
        <w:tc>
          <w:tcPr>
            <w:tcW w:w="1667" w:type="pct"/>
            <w:vMerge/>
            <w:vAlign w:val="center"/>
          </w:tcPr>
          <w:p w14:paraId="62668CDE"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13371DE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GRU Units</w:t>
            </w:r>
          </w:p>
        </w:tc>
        <w:tc>
          <w:tcPr>
            <w:tcW w:w="1667" w:type="pct"/>
            <w:vAlign w:val="center"/>
          </w:tcPr>
          <w:p w14:paraId="448401E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5FFF1796" w14:textId="77777777" w:rsidTr="00CA5300">
        <w:trPr>
          <w:jc w:val="center"/>
        </w:trPr>
        <w:tc>
          <w:tcPr>
            <w:tcW w:w="1667" w:type="pct"/>
            <w:vMerge/>
            <w:vAlign w:val="center"/>
          </w:tcPr>
          <w:p w14:paraId="12F8F7F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744D074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4A1D457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77ACFA61" w14:textId="77777777" w:rsidTr="00CA5300">
        <w:trPr>
          <w:jc w:val="center"/>
        </w:trPr>
        <w:tc>
          <w:tcPr>
            <w:tcW w:w="1667" w:type="pct"/>
            <w:vMerge/>
            <w:tcBorders>
              <w:bottom w:val="single" w:sz="4" w:space="0" w:color="auto"/>
            </w:tcBorders>
            <w:vAlign w:val="center"/>
          </w:tcPr>
          <w:p w14:paraId="5838AD28"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1157C5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6F38F8C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bl>
    <w:p w14:paraId="3339DEEC" w14:textId="77777777" w:rsidR="009A7421" w:rsidRDefault="009A7421"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MedAE, MedAPE의 여섯 가지의 평가지표를 사용하였다. </w:t>
      </w:r>
      <w:r w:rsidR="008F1E88" w:rsidRPr="008F1E88">
        <w:rPr>
          <w:rFonts w:ascii="바탕체" w:eastAsia="바탕체" w:hAnsi="바탕체" w:cs="Times New Roman"/>
          <w:sz w:val="20"/>
          <w:szCs w:val="20"/>
        </w:rPr>
        <w:t xml:space="preserve">MSE, RMSE, MAE, MedAE는 원 단위로, MAPE, MSPE, MedAPE는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(모형) LSTM과 GRU 단일 구조와 하이브리드 구조, (메모리 길이) 5~90일 lookback, (입력 집합) 구조적 요인과 사건 및 심리 요인의 단계적 추가, (평가축) 절대, </w:t>
      </w:r>
      <w:r w:rsidRPr="008F1E88">
        <w:rPr>
          <w:rFonts w:ascii="바탕체" w:eastAsia="바탕체" w:hAnsi="바탕체" w:cs="Times New Roman"/>
          <w:sz w:val="20"/>
          <w:szCs w:val="20"/>
        </w:rPr>
        <w:lastRenderedPageBreak/>
        <w:t>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2CBB0087" w14:textId="73BE046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(5일) 구간에서는 합성곱–순환 하이브리드 구조(CNN-LSTM, CNN-GRU)가 순수 순환 신경망(LSTM, GRU)보다 전반적으로 우수한 예측 성능을 보였다. Radar chart의 면적 및 순위에 따르면, CNN-LSTM(Macro + Sentiment(Direct+Indirect)) 조합이 여섯 개의 평가 지표(RMSE, MSPE, MAE, MAPE, MedAE, MedAPE) 중 다수를 선도하며,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p>
    <w:p w14:paraId="1D10127D"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chart는 각 지표를 0~1 구간으로 정규화하여, 값이 1에 가까울수록 성능이 우수함을 의미한다. 또한 legend는 전체 면적을 기준으로 내림차순 정렬되어 있으며, 가장 상단에 위치한 조합일수록 통합 성능이 우수함을 의미한다. 해당 시각화에서 CNN-LSTM(Macro + Sentiment(Direct+Indirect))은 외곽부(1 근처)에 가장 근접하며, 6개 지표 중 4개 항목에서 최고 성능(최소 오차)을 기록하였다. 이는 직접 감성(direct sentiment)과 간접 감성(indirect sentiment)을 동시에 결합함으로써,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p>
    <w:p w14:paraId="0CA1F7EA"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조합은 중앙값 기반 강건성 지표(MedAE, MedAPE)에서 최상위권을 차지하며, 단기 충격 및 꼬리 위험 구간(tail risk)에서도 안정적 예측을 유지했다. 이는 Conv1D가 단기적 급등락 패턴을 사전 요약하여 GRU의 게이트 구조가 보다 효율적으로 시간 의존 관계를 학습하게 했기 때문이다. 반면, 순수 LSTM과 GRU 모델은 radar chart의 중심부에 위치하여 전반적으로 낮은 성능을 보였으</w:t>
      </w:r>
      <w:r w:rsidRPr="008F1E88">
        <w:rPr>
          <w:rFonts w:ascii="바탕체" w:eastAsia="바탕체" w:hAnsi="바탕체" w:cs="Times New Roman" w:hint="eastAsia"/>
          <w:sz w:val="20"/>
          <w:szCs w:val="20"/>
        </w:rPr>
        <w:t>며</w:t>
      </w:r>
      <w:r w:rsidRPr="008F1E88">
        <w:rPr>
          <w:rFonts w:ascii="바탕체" w:eastAsia="바탕체" w:hAnsi="바탕체" w:cs="Times New Roman"/>
          <w:sz w:val="20"/>
          <w:szCs w:val="20"/>
        </w:rPr>
        <w:t>, 특히 변동성이 높은 단기 창구에서는 합성곱 블록이 결여된 구조의 한계가 뚜렷했다.</w:t>
      </w:r>
    </w:p>
    <w:p w14:paraId="3CB08FD2"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Radar chart에 따르면, CNN-GRU(Macro + Event + Sentiment(Direct)), CNN-GRU(Macro + Event), 그리고 LSTM(Macro + Sentiment(Direct))의 세 조합이 6개의 </w:t>
      </w:r>
      <w:r w:rsidRPr="008F1E88">
        <w:rPr>
          <w:rFonts w:ascii="바탕체" w:eastAsia="바탕체" w:hAnsi="바탕체" w:cs="Times New Roman"/>
          <w:sz w:val="20"/>
          <w:szCs w:val="20"/>
        </w:rPr>
        <w:lastRenderedPageBreak/>
        <w:t xml:space="preserve">검증지표 중 2개씩 1위를 차지하며 공동 1위를 형성하며 목적에 따라 균형 잡힌 성능을 보였다. 특히, CNN-GRU(Macro + Event + Sentiment(Direct))는 MAE 및 MAPE 측면에서, CNN-GRU(Macro + Event)는 MedAE 및 MedAPE 기준에서 각각 우위를 보였다. 이는 5일에서 감성 중심 신호가 지배적이었던 반면, 10일 창구에서는 이벤트와 감성의 복합적 결합이 모델 성능을 향상시킨다는 구조적 전환을 의미한다.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의미한다. 또한 5일 구간에서 단일 감성 중심 모델이 독보적이었던 것과 달리, 10일 구간에서는 감성과 이벤트의 상호작용이 성능 우위를 분산시키는 방향으로 작용했음을 보여</w:t>
      </w:r>
      <w:r w:rsidRPr="008F1E88">
        <w:rPr>
          <w:rFonts w:ascii="바탕체" w:eastAsia="바탕체" w:hAnsi="바탕체" w:cs="Times New Roman" w:hint="eastAsia"/>
          <w:sz w:val="20"/>
          <w:szCs w:val="20"/>
        </w:rPr>
        <w:t>준다</w:t>
      </w:r>
      <w:r w:rsidRPr="008F1E88">
        <w:rPr>
          <w:rFonts w:ascii="바탕체" w:eastAsia="바탕체" w:hAnsi="바탕체" w:cs="Times New Roman"/>
          <w:sz w:val="20"/>
          <w:szCs w:val="20"/>
        </w:rPr>
        <w:t>. 즉, 5일에는 시장의 정서적 반응(sentiment response)이 지배적이었다면, 중기에는 사건과 감성 복합효과(event–sentiment synergy)가 더 적합한 설명 변수로 작동한다.</w:t>
      </w:r>
    </w:p>
    <w:p w14:paraId="511B27E3"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Lookback 10일 환경에서는 CNN-GRU 기반 복합 입력 모델이 전반적으로 최적 조합으로 평가되며, 감성 신호의 지속적 효과와 이벤트 신호의 비선형 충격이 공존하는 중기적 환율 예측 구조를 시각적으로 확인할 수 있다. 이 결과는 합성곱–순환 하이브리드의 구조적 장점이 lookback이 증가함에도 </w:t>
      </w:r>
      <w:r w:rsidRPr="008F1E88">
        <w:rPr>
          <w:rFonts w:ascii="바탕체" w:eastAsia="바탕체" w:hAnsi="바탕체" w:cs="Times New Roman" w:hint="eastAsia"/>
          <w:sz w:val="20"/>
          <w:szCs w:val="20"/>
        </w:rPr>
        <w:t>유지되며</w:t>
      </w:r>
      <w:r w:rsidRPr="008F1E88">
        <w:rPr>
          <w:rFonts w:ascii="바탕체" w:eastAsia="바탕체" w:hAnsi="바탕체" w:cs="Times New Roman"/>
          <w:sz w:val="20"/>
          <w:szCs w:val="20"/>
        </w:rPr>
        <w:t>, 입력 변수 간 결합 전략에 따라 성능 패턴이 유연하게 변동함을 시사한다. 즉, 시간 창구가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즉시적이고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lastRenderedPageBreak/>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3"/>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4"/>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구간(lookback 20일)에서는 CNN-GRU(Macro + Event + Sentiment(Direct)) 조합이 여섯 가지 평가 지표(RMSE, MSPE, MAE, MAPE, MedAE, MedAPE) 중 다수에서 최고 성능을 기록하며, 가장 우수한 통합 예측력을 보인 모델로 나타났다. 아울러 Radar chart의 면적 및 순위 또한 이를 일관되게 지지하며, CNN-GRU 기반의 이벤트와 감성 결합형 모델이 중기 구간에서 최적의 구조적 효율성을 확보했음을 시사한다. 이는 이벤트(Event) 정보가 </w:t>
      </w:r>
      <w:r w:rsidRPr="008F1E88">
        <w:rPr>
          <w:rFonts w:ascii="바탕체" w:eastAsia="바탕체" w:hAnsi="바탕체" w:cs="Times New Roman"/>
          <w:sz w:val="20"/>
          <w:szCs w:val="20"/>
        </w:rPr>
        <w:lastRenderedPageBreak/>
        <w:t>감성(Sentiment)과 결합할 때 중기적 환율 변동의 비선형 패턴을 포착하는 데 효과적임을 보여준다. 특히 Conv1D 기반의 CNN 전처리가 사건 발생 시점의 단기 충격을 정규화하고, GRU의 간결한 게이트 구조가 중기적 시간 의존성을 효율적으로 추적하면서, 감성 톤의 방향성(directional sentiment)이 이를 보완적으로 강화하는 구조적 시너지가 형성된 것으로 해석된다.</w:t>
      </w:r>
    </w:p>
    <w:p w14:paraId="1078361E"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조합도 radar chart에서 두 번째로 넓은 면적을 차지하며 안정적 성능을 보였다. 이는 감성 정보가 없더라도 사건의 빈도와 중요도가 일정 기간 동안 누적되며 환율에 중기적 영향을 미친다는 점을 시사하는 실증적 결과이다</w:t>
      </w:r>
    </w:p>
    <w:p w14:paraId="6EC0C9C7"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구간(lookback 30일)에서는 LSTM(Macro + Event) 모델이 전 지표 기준에서 가장 넓은 radar 영역을 형성하며, 30일 변동에 대해 최적의 예측 성능을 달성한 모델로 확인되었다. Radar chart의 외곽 패턴에 따르면, LSTM(Macro + Event)은 RMSE, MSPE, MAE, MAPE 등 주요 절대오차 지표에서 1위를 차지하였으며, 이는 단기 구간에서 하이브리드 모델(CNN-LSTM, CNN-GRU)이 주도했던 </w:t>
      </w:r>
      <w:r w:rsidRPr="008F1E88">
        <w:rPr>
          <w:rFonts w:ascii="바탕체" w:eastAsia="바탕체" w:hAnsi="바탕체" w:cs="Times New Roman" w:hint="eastAsia"/>
          <w:sz w:val="20"/>
          <w:szCs w:val="20"/>
        </w:rPr>
        <w:t>패턴과</w:t>
      </w:r>
      <w:r w:rsidRPr="008F1E88">
        <w:rPr>
          <w:rFonts w:ascii="바탕체" w:eastAsia="바탕체" w:hAnsi="바탕체" w:cs="Times New Roman"/>
          <w:sz w:val="20"/>
          <w:szCs w:val="20"/>
        </w:rPr>
        <w:t xml:space="preserve"> 뚜렷하게 대조된다. 이러한 결과는 합성곱 전처리의 효과가 단기 변동(high-frequency noise)에 한정되는 반면, 30일 단위의 신호에서는 순수 순환 구조의 게이트 메커니즘이 장기적 패턴 유지에 더 효과적임을 보여준다. 즉, CNN 기반 지역 특징 요약이 중기 구간에서는 정보 손실을 유발할 가능성이 있으며, 반면 LSTM의 메모리 셀은 이벤트 발생 시점 이후 수 주간 지속되는 시장 반응을 비선형적으로 누적 학습할 수 있음을 의미한다. 특</w:t>
      </w:r>
      <w:r w:rsidRPr="008F1E88">
        <w:rPr>
          <w:rFonts w:ascii="바탕체" w:eastAsia="바탕체" w:hAnsi="바탕체" w:cs="Times New Roman" w:hint="eastAsia"/>
          <w:sz w:val="20"/>
          <w:szCs w:val="20"/>
        </w:rPr>
        <w:t>히</w:t>
      </w:r>
      <w:r w:rsidRPr="008F1E88">
        <w:rPr>
          <w:rFonts w:ascii="바탕체" w:eastAsia="바탕체" w:hAnsi="바탕체" w:cs="Times New Roman"/>
          <w:sz w:val="20"/>
          <w:szCs w:val="20"/>
        </w:rPr>
        <w:t xml:space="preserve"> Macro + Event 조합이 Macro + Sentiment 조합보다 radar 면적이 넓게 나타난 것은, 중기 구간에서는 감성 신호보다 정책금리, 무역지수, 원자재가격 등 거시·금융 변수와 글로벌 사건 발생량이 더 강한 설명력을 가지는 구조적 전환을 반영한다. 이 시점에서 감성 톤의 변동은 단기적 시장 심리에 국한되며, 중기 환율 추세에는 사건(event) 정보가 누적적으로 작용함을 radar chart가 시각적으로 입증하고 있다. </w:t>
      </w:r>
    </w:p>
    <w:p w14:paraId="5505528C" w14:textId="7509CFED"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 결과를 종합하면, lookback 5일에서는 감성 중심 모델(CNN-LSTM, Sentiment 융합형)이 최적, lookback 10~20일에서는 이벤트 및 감성 복합형(CNN-GRU)이 최적, 그리고 30일에서는 사건 중심의 순수 LSTM(Macro + Event)이 최적 구조로 전환되는 패턴이 명확히 관찰되었다. 이러한 변화는 시간 창구의 확장에 따라 지배적 예측 요인이 감성 → 복합 → 사건 순으로 이동하는 동태적 구조 전환(dynamic structural shift)을 의미한다. 즉, </w:t>
      </w:r>
      <w:r w:rsidRPr="008F1E88">
        <w:rPr>
          <w:rFonts w:ascii="바탕체" w:eastAsia="바탕체" w:hAnsi="바탕체" w:cs="Times New Roman"/>
          <w:sz w:val="20"/>
          <w:szCs w:val="20"/>
        </w:rPr>
        <w:lastRenderedPageBreak/>
        <w:t>단기에는 시장 정서(sentiment)가 빠르게 반응하는 고주파 신호로 작용하지만, 장기로 갈수록 복합적인 사건(event)의 누적적 영향이 시장의 방향성을 결정짓는 저주파 신호로 작용한다. 이는 텍스트 기반 감성 정보가 단기 예측의 효율적 보조 변수로서 작용하되, lookback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5"/>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16"/>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w:t>
      </w:r>
      <w:r w:rsidR="00B76699">
        <w:rPr>
          <w:rFonts w:ascii="바탕체" w:eastAsia="바탕체" w:hAnsi="바탕체" w:cs="맑은 고딕" w:hint="eastAsia"/>
          <w:b/>
          <w:bCs/>
          <w:color w:val="000000"/>
          <w:sz w:val="18"/>
          <w:szCs w:val="18"/>
        </w:rPr>
        <w:t>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2780674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구간(lookback 60일)에서는 LSTM(Macro + Event + Sentiment(All)) 조합이 여섯 가지 검증 지표(RMSE, MSPE, MAE, MAPE, MedAE, MedAPE) 중 4개에서 1위를 차지하며, 가장 우수한 종합 예측 성능을 보인 모델로 나타났다. Radar chart의 전체 면적과 순위 모두 이 결과를 일관되게 뒷받침하며, 이는 장기 시계열 구간에서 순수 LSTM 구조가 합성곱-순환 하이브리드(CNN-LSTM, CNN-GRU)를 능가하는 구조적 전환점이 발생했음을 보여준다. 이는 감성(senti­ment)과 이벤트(event) 신호가 결합될 때, 단기 노이즈보다 장기적 추세 변동을 설명하는 누적 신호(cumulative signal)로서 기능함을 의미한다. 특히, LSTM의 장기 메모리 셀 구조가 lookback 기간이 길어질수록 누적적 상관관계를 안정적으로 유지할 수 있어, 복합 입력 변수의 시간 지연 효과를 효율적으로 통합 학습한 것으로 해석된다.</w:t>
      </w:r>
    </w:p>
    <w:p w14:paraId="04064AC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LSTM(Macro + Event) 조합 또한 radar chart에서 두 번째로 넓은 면적을 형성하며 유사한 예측력을 보였다. 이는 감성 신호를 배제하더라도 거시 및 금융 지표와 사건 변수의 장기 누적 효과가 환율의 구조적 변동성을 충분히 설명할 수 있음을 시사한다. 반면 CNN 기반 하이브리드 모델은 radar의 중심부에 위치하며, 단기에서 유효했던 합성곱 전처리의 효과가 장기 구간에서는 감소함을 확인할 수 있다. 즉, Conv1D를 통한 국소 패턴 </w:t>
      </w:r>
      <w:r w:rsidRPr="008F1E88">
        <w:rPr>
          <w:rFonts w:ascii="바탕체" w:eastAsia="바탕체" w:hAnsi="바탕체" w:cs="Times New Roman" w:hint="eastAsia"/>
          <w:sz w:val="20"/>
          <w:szCs w:val="20"/>
        </w:rPr>
        <w:t>요약은</w:t>
      </w:r>
      <w:r w:rsidRPr="008F1E88">
        <w:rPr>
          <w:rFonts w:ascii="바탕체" w:eastAsia="바탕체" w:hAnsi="바탕체" w:cs="Times New Roman"/>
          <w:sz w:val="20"/>
          <w:szCs w:val="20"/>
        </w:rPr>
        <w:t xml:space="preserve"> 단기 급등락 탐지에는 효과적이나, 60일 이상의 저주파(long-horizon) 구간에서는 오히려 시점 간 의존 정보를 손실시키는 요인으로 작용한다.</w:t>
      </w:r>
    </w:p>
    <w:p w14:paraId="006ED104"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초장기</w:t>
      </w:r>
      <w:r w:rsidRPr="008F1E88">
        <w:rPr>
          <w:rFonts w:ascii="바탕체" w:eastAsia="바탕체" w:hAnsi="바탕체" w:cs="Times New Roman"/>
          <w:sz w:val="20"/>
          <w:szCs w:val="20"/>
        </w:rPr>
        <w:t xml:space="preserve"> 예측 구간(lookback 90일)에서는 LSTM 계열이 절대적 우위를 보이며, LSTM(Macro + Event)와 LSTM(Macro + Event + Sentiment(All))이 공동 1위로 나타났다. 이 결과는 90일 수준의 예측 창에서는 감성 신호보다 거시 및 금융 변수 및 사건(Event)의 누적적 효과가 주도적 요인으로 작용함을 시각적으로 입증한다. </w:t>
      </w:r>
    </w:p>
    <w:p w14:paraId="36554671"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특히</w:t>
      </w:r>
      <w:r w:rsidRPr="008F1E88">
        <w:rPr>
          <w:rFonts w:ascii="바탕체" w:eastAsia="바탕체" w:hAnsi="바탕체" w:cs="Times New Roman"/>
          <w:sz w:val="20"/>
          <w:szCs w:val="20"/>
        </w:rPr>
        <w:t xml:space="preserve"> LSTM(Macro + Event)은 MedAE, MedAPE 지표에서 최고 성능을 보였으며, LSTM(Macro + Event + Sentiment(All))은 RMSE 및 MSPE 지표에서 우위를 보였다. 이는 감성 신호가 장기 구간에서 추가적인 설명력보다는 예측 분포의 안정화(stabilization)에 기여하는 보조 변수로 작용함을 시사한다. 한편, CNN-GRU(Macro + Event + Sentiment(Direct))와 CNN-GRU(Macro Only) 조합은 radar chart의 중심부에 위치하며, 단기 구간에서 관찰되던 하이브리드 구조의 우월성이 장기에서는 완전히 소멸되는 경향을 보였다. 이는 합성곱 기반의 단기 패턴 인코딩이 장기 메모리 보존과 충돌할 수 있으며, 장기 예측에서는 오히려 </w:t>
      </w:r>
      <w:r w:rsidRPr="008F1E88">
        <w:rPr>
          <w:rFonts w:ascii="바탕체" w:eastAsia="바탕체" w:hAnsi="바탕체" w:cs="Times New Roman"/>
          <w:sz w:val="20"/>
          <w:szCs w:val="20"/>
        </w:rPr>
        <w:lastRenderedPageBreak/>
        <w:t xml:space="preserve">LSTM의 순차적 게이트 메커니즘이 안정적 추세를 학습하는 데 더 효과적임을 뒷받침한다. 이는 lookback이 90일 이상으로 확장될수록 감성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53FE53AD" w14:textId="007C3B8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 결과를 종합하면, 중기(20~30일)까지는 이벤트–감성 복합 신호가 우수했으나, 장기(60~90일) 구간에서는 순수 LSTM 기반 구조가 우세로 전환되었다. 즉, 시간 창구가 길어질수록 예측 모델의 최적 구조가 CNN 기반 하이브리드에서 순수 순환형으로 이동하는 구조적 전이(structural transition)가 관찰된다. 이러한 변화는 단기 급등락(high-frequency shock)을 설명하던 감성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 정보는 장기 구간에서 필수 변수라기보다는 예측 안정성을 보조하는 정성적 요소로 기능하며, 모델 구조 측면에서는 LSTM의 장기 메모리 셀이 CNN 기반의 국소 추출보다 효율적인 장기 패턴 학습을 수행함이 실증적으로 확인되었다.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17"/>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18"/>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&lt;초장기 예측에서의 사건 기반 누적 효과의 지배 성능&gt;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w:t>
      </w:r>
      <w:r w:rsidR="0061590E">
        <w:rPr>
          <w:rFonts w:ascii="바탕체" w:eastAsia="바탕체" w:hAnsi="바탕체" w:cs="맑은 고딕" w:hint="eastAsia"/>
          <w:b/>
          <w:bCs/>
          <w:color w:val="000000"/>
          <w:sz w:val="18"/>
          <w:szCs w:val="18"/>
        </w:rPr>
        <w:t>기 데이터 학습을 통한 환율 예측 종합 성능 Radar Chart</w:t>
      </w:r>
    </w:p>
    <w:p w14:paraId="67B200AC"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BF2A0E3" w14:textId="1F4CAF53" w:rsidR="009D15E1" w:rsidRDefault="00297D92" w:rsidP="008F1E88">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sidR="007A359A">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결과2: 환율 예측 목적에 따른 최적 모델과 </w:t>
      </w:r>
      <w:r w:rsidR="00B47587">
        <w:rPr>
          <w:rFonts w:ascii="바탕체" w:eastAsia="바탕체" w:hAnsi="바탕체" w:cs="Times New Roman" w:hint="eastAsia"/>
          <w:b/>
          <w:bCs/>
          <w:szCs w:val="22"/>
        </w:rPr>
        <w:t xml:space="preserve">시장 </w:t>
      </w:r>
      <w:r w:rsidR="002A5AE8">
        <w:rPr>
          <w:rFonts w:ascii="바탕체" w:eastAsia="바탕체" w:hAnsi="바탕체" w:cs="Times New Roman" w:hint="eastAsia"/>
          <w:b/>
          <w:bCs/>
          <w:szCs w:val="22"/>
        </w:rPr>
        <w:t>신호</w:t>
      </w:r>
      <w:r w:rsidR="00B47587">
        <w:rPr>
          <w:rFonts w:ascii="바탕체" w:eastAsia="바탕체" w:hAnsi="바탕체" w:cs="Times New Roman" w:hint="eastAsia"/>
          <w:b/>
          <w:bCs/>
          <w:szCs w:val="22"/>
        </w:rPr>
        <w:t>의</w:t>
      </w:r>
      <w:r w:rsidR="002A5AE8">
        <w:rPr>
          <w:rFonts w:ascii="바탕체" w:eastAsia="바탕체" w:hAnsi="바탕체" w:cs="Times New Roman" w:hint="eastAsia"/>
          <w:b/>
          <w:bCs/>
          <w:szCs w:val="22"/>
        </w:rPr>
        <w:t xml:space="preserve"> 지배변수 조합의 구조적</w:t>
      </w:r>
      <w:r w:rsidR="008F1E88" w:rsidRPr="008F1E88">
        <w:rPr>
          <w:rFonts w:ascii="바탕체" w:eastAsia="바탕체" w:hAnsi="바탕체" w:cs="Times New Roman"/>
          <w:b/>
          <w:bCs/>
          <w:szCs w:val="22"/>
        </w:rPr>
        <w:t xml:space="preserve"> 전이</w:t>
      </w:r>
    </w:p>
    <w:p w14:paraId="72D74744" w14:textId="56A562BE" w:rsidR="008F1E88" w:rsidRPr="008F1E88" w:rsidRDefault="009D15E1"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sz w:val="20"/>
          <w:szCs w:val="20"/>
        </w:rPr>
        <w:t>본</w:t>
      </w:r>
      <w:r w:rsidR="008F1E88" w:rsidRPr="008F1E88">
        <w:rPr>
          <w:rFonts w:ascii="바탕체" w:eastAsia="바탕체" w:hAnsi="바탕체" w:cs="Times New Roman"/>
          <w:sz w:val="20"/>
          <w:szCs w:val="20"/>
        </w:rPr>
        <w:t xml:space="preserve"> 연구에서는 예측 목적별로 세 가지 평가 관점을 설정하고, 각 관점에서 최적의 모델과 입력 변수 조합을 식별하였다. 첫째, 고변동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MedAE와 MedAPE를 사용하였다.</w:t>
      </w:r>
    </w:p>
    <w:p w14:paraId="47D5FA42" w14:textId="40A34728"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고변동성</w:t>
      </w:r>
      <w:r w:rsidR="008F1E88" w:rsidRPr="008F1E88">
        <w:rPr>
          <w:rFonts w:ascii="바탕체" w:eastAsia="바탕체" w:hAnsi="바탕체" w:cs="Times New Roman"/>
          <w:sz w:val="20"/>
          <w:szCs w:val="20"/>
        </w:rPr>
        <w:t xml:space="preserve"> 구간에서도 일관된 환율 예측력 확보를 위해 RMSE와 MSPE를 기준으로 평가한 결과, LSTM(Macro + Event) 조합이 가장 우수한 성능을 보였다(RMSE=6.946, MSPE=0.259). 이 모델은 20일의 lookback 구간에서 최적값을 기록하였으며, CNN-LSTM(Macro + Event + Sentiment(All))과 LSTM(Macro + Event + Sentiment(Direct))이 각각 근접한 성능을 나타냈다.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 정보(event variables)가 환율의 급격한 반응과 회귀 과정을 설명하는 핵심 신호로 작용했음을 보여준다. 단기적 급등락에 대한 시장 반응을 정규화하는 동시에, LSTM의 게이트 구조가 </w:t>
      </w:r>
      <w:r w:rsidR="008F1E88" w:rsidRPr="008F1E88">
        <w:rPr>
          <w:rFonts w:ascii="바탕체" w:eastAsia="바탕체" w:hAnsi="바탕체" w:cs="Times New Roman"/>
          <w:sz w:val="20"/>
          <w:szCs w:val="20"/>
        </w:rPr>
        <w:lastRenderedPageBreak/>
        <w:t>시점 간 누적 신호를 안정적으로 학습했음을 보여준다. 즉, CNN 기반의 합성곱 전처리(Conv1D)는 국소적 패턴 감지에는 유용하지만, 20일 수준의 중단기 예측에서는 추가적 성능 향상이 제한적이었다. 반</w:t>
      </w:r>
      <w:r w:rsidR="008F1E88" w:rsidRPr="008F1E88">
        <w:rPr>
          <w:rFonts w:ascii="바탕체" w:eastAsia="바탕체" w:hAnsi="바탕체" w:cs="Times New Roman" w:hint="eastAsia"/>
          <w:sz w:val="20"/>
          <w:szCs w:val="20"/>
        </w:rPr>
        <w:t>면</w:t>
      </w:r>
      <w:r w:rsidR="008F1E88" w:rsidRPr="008F1E88">
        <w:rPr>
          <w:rFonts w:ascii="바탕체" w:eastAsia="바탕체" w:hAnsi="바탕체" w:cs="Times New Roman"/>
          <w:sz w:val="20"/>
          <w:szCs w:val="20"/>
        </w:rPr>
        <w:t>, 단순하고 해석 가능한 Macro + Event 조합이 변동성 하의 환율 예측에서 과적합의 위험 없이 가장 일관된 예측력과 강한 설명력을 갖는다는 점을 시사한다.</w:t>
      </w:r>
    </w:p>
    <w:p w14:paraId="76EE87DF" w14:textId="7F3FE099"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평균적</w:t>
      </w:r>
      <w:r w:rsidR="008F1E88" w:rsidRPr="008F1E88">
        <w:rPr>
          <w:rFonts w:ascii="바탕체" w:eastAsia="바탕체" w:hAnsi="바탕체" w:cs="Times New Roman"/>
          <w:sz w:val="20"/>
          <w:szCs w:val="20"/>
        </w:rPr>
        <w:t xml:space="preserve"> 예측 정확성을 나타내는 MAE와 MAPE 기준에서는, CNN-GRU(Macro + Event + Sentiment(Direct)) 조합이 가장 우수한 결과를 기록하였다(MAE=5.357, MAPE=0.392). 이는 20일 구간에서 CNN-GRU 구조가 Conv1D의 지역 패턴 요약(local summarization)을 통해 변동성을 축소시키고, GRU의 간결한 게이트 구조가 주요 추세를 효율적으로 포착했기 때문으로 해석된다. 특히 직접 감성 변</w:t>
      </w:r>
      <w:r w:rsidR="008F1E88" w:rsidRPr="008F1E88">
        <w:rPr>
          <w:rFonts w:ascii="바탕체" w:eastAsia="바탕체" w:hAnsi="바탕체" w:cs="Times New Roman" w:hint="eastAsia"/>
          <w:sz w:val="20"/>
          <w:szCs w:val="20"/>
        </w:rPr>
        <w:t>수의</w:t>
      </w:r>
      <w:r w:rsidR="008F1E88" w:rsidRPr="008F1E88">
        <w:rPr>
          <w:rFonts w:ascii="바탕체" w:eastAsia="바탕체" w:hAnsi="바탕체" w:cs="Times New Roman"/>
          <w:sz w:val="20"/>
          <w:szCs w:val="20"/>
        </w:rPr>
        <w:t xml:space="preserve">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 감성 톤의 방향성이 환율의 단기적 모멘텀을 설명하는 효과적인 보조 변수로 작용했음을 시사한다. 또한 LSTM(Macro + Event, lookback=30) 역시 거의 동일한 수준의 성능을 보여, 장</w:t>
      </w:r>
      <w:r w:rsidR="008F1E88" w:rsidRPr="008F1E88">
        <w:rPr>
          <w:rFonts w:ascii="바탕체" w:eastAsia="바탕체" w:hAnsi="바탕체" w:cs="Times New Roman" w:hint="eastAsia"/>
          <w:sz w:val="20"/>
          <w:szCs w:val="20"/>
        </w:rPr>
        <w:t>기</w:t>
      </w:r>
      <w:r w:rsidR="008F1E88" w:rsidRPr="008F1E88">
        <w:rPr>
          <w:rFonts w:ascii="바탕체" w:eastAsia="바탕체" w:hAnsi="바탕체" w:cs="Times New Roman"/>
          <w:sz w:val="20"/>
          <w:szCs w:val="20"/>
        </w:rPr>
        <w:t xml:space="preserve"> 메모리 구조가 중기 예측에서도 누적된 시간 의존성을 안정적으로 유지할 수 있음을 입증한다. 즉, CNN-GRU 구조는 단기·중기 구간에서 감성과 사건의 결합 효과를 극대화하여 평균 오차를 최소화하는 데 유리하며, LSTM은 상대적으로 더 긴 시간축에서의 안정적 추세 학습에 유효한 형태로 구분된다.</w:t>
      </w:r>
    </w:p>
    <w:p w14:paraId="37DF644F" w14:textId="7C8E398A"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비정상적</w:t>
      </w:r>
      <w:r w:rsidR="008F1E88" w:rsidRPr="008F1E88">
        <w:rPr>
          <w:rFonts w:ascii="바탕체" w:eastAsia="바탕체" w:hAnsi="바탕체" w:cs="Times New Roman"/>
          <w:sz w:val="20"/>
          <w:szCs w:val="20"/>
        </w:rPr>
        <w:t xml:space="preserve"> 환율 변동에서의 중앙값 기반 강건성(MedAE, MedAPE)을 평가한 결과, LSTM(Macro + Event + Sentiment(Direct)) 조합이 가장 뛰어난 예측 안정성을 보였다(MedAE=4.317, lookback=30). 이는 감성 신호가 비선형적 충격이 발생하는 시점에서 LSTM의 장기 메모리와 상호 보완적으로 작용하여, 오차 분포의 꼬리(Tail) 영역을 효과적으로 억제하는데 도움을 준 것으로 보인다.  에서 최저값을 기록하</w:t>
      </w:r>
      <w:r w:rsidR="008F1E88" w:rsidRPr="008F1E88">
        <w:rPr>
          <w:rFonts w:ascii="바탕체" w:eastAsia="바탕체" w:hAnsi="바탕체" w:cs="Times New Roman" w:hint="eastAsia"/>
          <w:sz w:val="20"/>
          <w:szCs w:val="20"/>
        </w:rPr>
        <w:t>며</w:t>
      </w:r>
      <w:r w:rsidR="008F1E88" w:rsidRPr="008F1E88">
        <w:rPr>
          <w:rFonts w:ascii="바탕체" w:eastAsia="바탕체" w:hAnsi="바탕체" w:cs="Times New Roman"/>
          <w:sz w:val="20"/>
          <w:szCs w:val="20"/>
        </w:rPr>
        <w:t xml:space="preserve"> 가장 안정적인 예측력을 보였다. 반면, 장기 예측 구간(lookback=90)에서는 LSTM(Macro + Event) 조합이 MedAPE=0.316으로 최저치를 기록하며, 감성 신호를 제외한 간결한 피처 구성이 오히려 장기적 분포 안정성에 유리하였다. 이러한 패턴은 감성 신호가 중기 구간에서의 강건성 향상에 기여하지만, 장기 구간에서는 그 효과가 점차 희석되고 오히려 거시 및 사건 정보(Macro–Event)의 누적 효과가 지배적으로 작용함을 시사한</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즉, 감성 신호는 단기와 중기 예측에서 비선형적 변동성을 흡수하는 완충 변수로 작용하지만, 장기 예측에서는 </w:t>
      </w:r>
      <w:r w:rsidR="008F1E88" w:rsidRPr="008F1E88">
        <w:rPr>
          <w:rFonts w:ascii="바탕체" w:eastAsia="바탕체" w:hAnsi="바탕체" w:cs="Times New Roman"/>
          <w:sz w:val="20"/>
          <w:szCs w:val="20"/>
        </w:rPr>
        <w:lastRenderedPageBreak/>
        <w:t xml:space="preserve">감성의 영향력이 점차 약화되고 사건 기반의 누적 효과가 지배적인 예측 요인으로 전환된다. </w:t>
      </w:r>
    </w:p>
    <w:p w14:paraId="1017EC90" w14:textId="4A7EF9AE"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아울러</w:t>
      </w:r>
      <w:r w:rsidR="008F1E88" w:rsidRPr="008F1E88">
        <w:rPr>
          <w:rFonts w:ascii="바탕체" w:eastAsia="바탕체" w:hAnsi="바탕체" w:cs="Times New Roman"/>
          <w:sz w:val="20"/>
          <w:szCs w:val="20"/>
        </w:rPr>
        <w:t xml:space="preserve">, 예측 목적별 최적 조합들을 비교한 결과 공통적으로 다음 세 가지의 특징이 도출되었다. 첫째, 모든 최적 조합이 Macro 변수와 Event 변수를 기본적으로 포함한다. 이는 환율 예측에서 거시적 요인과 사건의 결합이 텍스트 감성 변수보다 항상 상위 수준의 설명력을 갖는다는 점을 실증적으로 확인한 결과이다. 거시지표는 구조적 안정성을, 사건지표는 단기 충격의 방향성을 제공함으로써, 두 변수군이 상호보완적 기능을 수행한다. 둘째, 직접 감성 변수는 </w:t>
      </w:r>
      <w:r w:rsidR="008F1E88" w:rsidRPr="008F1E88">
        <w:rPr>
          <w:rFonts w:ascii="바탕체" w:eastAsia="바탕체" w:hAnsi="바탕체" w:cs="Times New Roman" w:hint="eastAsia"/>
          <w:sz w:val="20"/>
          <w:szCs w:val="20"/>
        </w:rPr>
        <w:t>특히</w:t>
      </w:r>
      <w:r w:rsidR="008F1E88" w:rsidRPr="008F1E88">
        <w:rPr>
          <w:rFonts w:ascii="바탕체" w:eastAsia="바탕체" w:hAnsi="바탕체" w:cs="Times New Roman"/>
          <w:sz w:val="20"/>
          <w:szCs w:val="20"/>
        </w:rPr>
        <w:t xml:space="preserve"> 중기에서의 성능 개선을 유의하게 유도하였다. 이는 감성 정보가 단기 시장 반응보다는 일정 기간 누적된 정서 변동의 신호로 작용할 때 더 높은 신뢰도를 갖는다는 점을 의미한다. 즉, 감성 변수는 고빈도 시점에서 노이즈를 유발하기 쉬우나, 일정 길이의 lookback에서는 정서적 방향성의 추세적 전환을 포착할 때 모델의 예측력을 강화할 수 있다. 셋째, 변수 선별 없이 과도한 모든 변수들의 결합은 성능 향상보다 오히려 미세한 저하를 초래하는 경향을 보였</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이는 다중공선성(multicollinearity)과 정보 중복으로 인해 모델의 일반화 성능이 저해된 결과로, 환율 예측에 있어서는 변수의 양보다 시장의 신호를 잘 반영할 수 있는 질이 더 중요함을 보여준다. 따라서 실증 결과는 “Macro + Event” 또는 “Macro + Event + Sentiment(Direct)”와 같은 최적 변수 구성이 고변동성, 평균 정확도, 강건성의 모든 목적에서 일관되게 상위권을 유지함을 입증하였다.</w:t>
      </w:r>
    </w:p>
    <w:p w14:paraId="008AE16A" w14:textId="410168BE" w:rsid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종합하면</w:t>
      </w:r>
      <w:r w:rsidR="008F1E88" w:rsidRPr="008F1E88">
        <w:rPr>
          <w:rFonts w:ascii="바탕체" w:eastAsia="바탕체" w:hAnsi="바탕체" w:cs="Times New Roman"/>
          <w:sz w:val="20"/>
          <w:szCs w:val="20"/>
        </w:rPr>
        <w:t xml:space="preserve">, 본 연구의 실험 결과는 시간 창구와 예측 목적에 따라 지배적인 신호 구조가 동적으로 전이됨을 보여준다. 고변동 환경에서는 LSTM(Macro + Event)가 가장 일관된 성능을 보였고, 평균적 정확도 기준에서는 CNN-GRU(Macro + Event + Sentiment(Direct), 비정상적 변동 구간에서는 LSTM(Macro + Event + Sentiment(Direct) 또는 LSTM(Macro + Event)이 각각 최적 조합으로 </w:t>
      </w:r>
      <w:r w:rsidR="008F1E88" w:rsidRPr="008F1E88">
        <w:rPr>
          <w:rFonts w:ascii="바탕체" w:eastAsia="바탕체" w:hAnsi="바탕체" w:cs="Times New Roman" w:hint="eastAsia"/>
          <w:sz w:val="20"/>
          <w:szCs w:val="20"/>
        </w:rPr>
        <w:t>확인되었다</w:t>
      </w:r>
      <w:r w:rsidR="008F1E88" w:rsidRPr="008F1E88">
        <w:rPr>
          <w:rFonts w:ascii="바탕체" w:eastAsia="바탕체" w:hAnsi="바탕체" w:cs="Times New Roman"/>
          <w:sz w:val="20"/>
          <w:szCs w:val="20"/>
        </w:rPr>
        <w:t xml:space="preserve">. 5~10일 단기 구간에서는 감성 중심 모델이, 20~30일 중기 구간에서는 감성과 이벤트의 복합 신호가, 60~90일 장기 구간에서는 사건 중심 모델이 각각 최적 구조로 전환되었다. 즉, 감성 -&gt; 복합 -&gt; 사건 중심으로 이동하는 구조적 예측 패턴이 확인되었다. 특히 중기(20~30일) 구간에서 감성과 이벤트의 복합 신호가 비선형 변동을 설명하는 데 효과적이었으며, 장기(60~90일) 구간에서는 LSTM의 장기 메모리 셀이 사건 기반 누적 </w:t>
      </w:r>
      <w:r w:rsidR="008F1E88" w:rsidRPr="008F1E88">
        <w:rPr>
          <w:rFonts w:ascii="바탕체" w:eastAsia="바탕체" w:hAnsi="바탕체" w:cs="Times New Roman" w:hint="eastAsia"/>
          <w:sz w:val="20"/>
          <w:szCs w:val="20"/>
        </w:rPr>
        <w:t>충격을</w:t>
      </w:r>
      <w:r w:rsidR="008F1E88" w:rsidRPr="008F1E88">
        <w:rPr>
          <w:rFonts w:ascii="바탕체" w:eastAsia="바탕체" w:hAnsi="바탕체" w:cs="Times New Roman"/>
          <w:sz w:val="20"/>
          <w:szCs w:val="20"/>
        </w:rPr>
        <w:t xml:space="preserve"> 안정적으로 흡수하며 구조적 우위를 확보하였다. 이러한 동태적 전이는 딥러닝 기반 환율 예측에서 입력 변수의 시계열적 성격과 상호작용 구조를 동적으로 고려해야 함을 시사한다. 결과적으로, Macro와 Event 변수는 모든 </w:t>
      </w:r>
      <w:r w:rsidR="008F1E88" w:rsidRPr="008F1E88">
        <w:rPr>
          <w:rFonts w:ascii="바탕체" w:eastAsia="바탕체" w:hAnsi="바탕체" w:cs="Times New Roman"/>
          <w:sz w:val="20"/>
          <w:szCs w:val="20"/>
        </w:rPr>
        <w:lastRenderedPageBreak/>
        <w:t>구간에서 필수적 기반, Sentiment(Direct)는 중기적 비선형 반응 보완 요인, 그리고 간결한 피처 구성이 과적합 없이 안정적 예측을 보장하는 핵심 설계 원칙으로 정리된다. 따라서 본 연구의 결과는 딥러닝 기반 환율 예측</w:t>
      </w:r>
      <w:r w:rsidR="008F1E88" w:rsidRPr="008F1E88">
        <w:rPr>
          <w:rFonts w:ascii="바탕체" w:eastAsia="바탕체" w:hAnsi="바탕체" w:cs="Times New Roman" w:hint="eastAsia"/>
          <w:sz w:val="20"/>
          <w:szCs w:val="20"/>
        </w:rPr>
        <w:t>에서</w:t>
      </w:r>
      <w:r w:rsidR="008F1E88" w:rsidRPr="008F1E88">
        <w:rPr>
          <w:rFonts w:ascii="바탕체" w:eastAsia="바탕체" w:hAnsi="바탕체" w:cs="Times New Roman"/>
          <w:sz w:val="20"/>
          <w:szCs w:val="20"/>
        </w:rPr>
        <w:t xml:space="preserve"> 시간 창구별 모델과 변수 설계가 필요함을 시사하며, 감성 정보는 단기 시장 반응을, 이벤트 정보는 장기 추세 변동을 설명하는 상호보완적 역할을 수행함을 보여준다.</w:t>
      </w:r>
    </w:p>
    <w:p w14:paraId="632D5366" w14:textId="77777777" w:rsidR="008F1E88" w:rsidRDefault="008F1E88" w:rsidP="008F1E88">
      <w:pPr>
        <w:wordWrap/>
        <w:spacing w:line="420" w:lineRule="auto"/>
        <w:jc w:val="both"/>
        <w:rPr>
          <w:rFonts w:ascii="바탕체" w:eastAsia="바탕체" w:hAnsi="바탕체" w:cs="Times New Roman"/>
          <w:sz w:val="20"/>
          <w:szCs w:val="20"/>
        </w:rPr>
      </w:pPr>
    </w:p>
    <w:p w14:paraId="79C91054" w14:textId="61215070" w:rsidR="002D04DC" w:rsidRPr="009B540A" w:rsidRDefault="002D04DC" w:rsidP="009B540A">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sidR="00CF6855">
        <w:rPr>
          <w:rFonts w:ascii="바탕체" w:eastAsia="바탕체" w:hAnsi="바탕체" w:cs="맑은 고딕" w:hint="eastAsia"/>
          <w:b/>
          <w:bCs/>
          <w:sz w:val="20"/>
          <w:szCs w:val="20"/>
        </w:rPr>
        <w:t>5</w:t>
      </w:r>
      <w:r w:rsidRPr="009B540A">
        <w:rPr>
          <w:rFonts w:ascii="바탕체" w:eastAsia="바탕체" w:hAnsi="바탕체" w:cs="맑은 고딕"/>
          <w:b/>
          <w:bCs/>
          <w:sz w:val="20"/>
          <w:szCs w:val="20"/>
        </w:rPr>
        <w:t xml:space="preserve">&gt; </w:t>
      </w:r>
      <w:r w:rsidR="000D439E">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sidR="000D439E">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sidR="000D439E">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5"/>
        <w:gridCol w:w="835"/>
        <w:gridCol w:w="835"/>
        <w:gridCol w:w="1004"/>
        <w:gridCol w:w="2912"/>
        <w:gridCol w:w="923"/>
      </w:tblGrid>
      <w:tr w:rsidR="002D04DC" w:rsidRPr="006539F6" w14:paraId="526BDDF1" w14:textId="77777777" w:rsidTr="006A2E80">
        <w:trPr>
          <w:trHeight w:val="680"/>
        </w:trPr>
        <w:tc>
          <w:tcPr>
            <w:tcW w:w="2031" w:type="dxa"/>
            <w:tcBorders>
              <w:top w:val="single" w:sz="4" w:space="0" w:color="auto"/>
              <w:bottom w:val="single" w:sz="4" w:space="0" w:color="auto"/>
            </w:tcBorders>
            <w:noWrap/>
            <w:hideMark/>
          </w:tcPr>
          <w:p w14:paraId="479D9EA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Prediction Purpose</w:t>
            </w:r>
          </w:p>
        </w:tc>
        <w:tc>
          <w:tcPr>
            <w:tcW w:w="778" w:type="dxa"/>
            <w:tcBorders>
              <w:top w:val="single" w:sz="4" w:space="0" w:color="auto"/>
              <w:bottom w:val="single" w:sz="4" w:space="0" w:color="auto"/>
            </w:tcBorders>
            <w:noWrap/>
            <w:hideMark/>
          </w:tcPr>
          <w:p w14:paraId="04DD08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Metric1</w:t>
            </w:r>
          </w:p>
        </w:tc>
        <w:tc>
          <w:tcPr>
            <w:tcW w:w="778" w:type="dxa"/>
            <w:tcBorders>
              <w:top w:val="single" w:sz="4" w:space="0" w:color="auto"/>
              <w:bottom w:val="single" w:sz="4" w:space="0" w:color="auto"/>
            </w:tcBorders>
            <w:noWrap/>
            <w:hideMark/>
          </w:tcPr>
          <w:p w14:paraId="2EA18BD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Metric2</w:t>
            </w:r>
          </w:p>
        </w:tc>
        <w:tc>
          <w:tcPr>
            <w:tcW w:w="1020" w:type="dxa"/>
            <w:tcBorders>
              <w:top w:val="single" w:sz="4" w:space="0" w:color="auto"/>
              <w:bottom w:val="single" w:sz="4" w:space="0" w:color="auto"/>
            </w:tcBorders>
            <w:hideMark/>
          </w:tcPr>
          <w:p w14:paraId="067D9DA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Model </w:t>
            </w:r>
            <w:r w:rsidRPr="001A0495">
              <w:rPr>
                <w:rFonts w:ascii="바탕체" w:eastAsia="바탕체" w:hAnsi="바탕체" w:cs="맑은 고딕" w:hint="eastAsia"/>
                <w:b/>
                <w:bCs/>
                <w:sz w:val="18"/>
                <w:szCs w:val="18"/>
              </w:rPr>
              <w:br/>
              <w:t>Ranking</w:t>
            </w:r>
          </w:p>
        </w:tc>
        <w:tc>
          <w:tcPr>
            <w:tcW w:w="2968" w:type="dxa"/>
            <w:tcBorders>
              <w:top w:val="single" w:sz="4" w:space="0" w:color="auto"/>
              <w:bottom w:val="single" w:sz="4" w:space="0" w:color="auto"/>
            </w:tcBorders>
            <w:noWrap/>
            <w:hideMark/>
          </w:tcPr>
          <w:p w14:paraId="1C15E98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Feature Case</w:t>
            </w:r>
          </w:p>
        </w:tc>
        <w:tc>
          <w:tcPr>
            <w:tcW w:w="929" w:type="dxa"/>
            <w:tcBorders>
              <w:top w:val="single" w:sz="4" w:space="0" w:color="auto"/>
              <w:bottom w:val="single" w:sz="4" w:space="0" w:color="auto"/>
            </w:tcBorders>
            <w:hideMark/>
          </w:tcPr>
          <w:p w14:paraId="0FABF1E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Best</w:t>
            </w:r>
            <w:r w:rsidRPr="001A0495">
              <w:rPr>
                <w:rFonts w:ascii="바탕체" w:eastAsia="바탕체" w:hAnsi="바탕체" w:cs="맑은 고딕" w:hint="eastAsia"/>
                <w:b/>
                <w:bCs/>
                <w:sz w:val="18"/>
                <w:szCs w:val="18"/>
              </w:rPr>
              <w:br/>
              <w:t>Lookback</w:t>
            </w:r>
          </w:p>
        </w:tc>
      </w:tr>
      <w:tr w:rsidR="002D04DC" w:rsidRPr="006539F6" w14:paraId="22C5077C" w14:textId="77777777" w:rsidTr="006A2E80">
        <w:trPr>
          <w:trHeight w:val="340"/>
        </w:trPr>
        <w:tc>
          <w:tcPr>
            <w:tcW w:w="2031" w:type="dxa"/>
            <w:vMerge w:val="restart"/>
            <w:tcBorders>
              <w:top w:val="single" w:sz="4" w:space="0" w:color="auto"/>
            </w:tcBorders>
            <w:hideMark/>
          </w:tcPr>
          <w:p w14:paraId="0F2E5B2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높은 변동성에도 일관된</w:t>
            </w:r>
            <w:r w:rsidRPr="001A0495">
              <w:rPr>
                <w:rFonts w:ascii="바탕체" w:eastAsia="바탕체" w:hAnsi="바탕체" w:cs="맑은 고딕" w:hint="eastAsia"/>
                <w:b/>
                <w:bCs/>
                <w:sz w:val="18"/>
                <w:szCs w:val="18"/>
              </w:rPr>
              <w:br/>
              <w:t>환율예측 정확성</w:t>
            </w:r>
            <w:r w:rsidRPr="001A0495">
              <w:rPr>
                <w:rFonts w:ascii="바탕체" w:eastAsia="바탕체" w:hAnsi="바탕체" w:cs="맑은 고딕" w:hint="eastAsia"/>
                <w:b/>
                <w:bCs/>
                <w:sz w:val="18"/>
                <w:szCs w:val="18"/>
              </w:rPr>
              <w:br/>
              <w:t>(Metric1=RMSE,</w:t>
            </w:r>
            <w:r w:rsidRPr="001A0495">
              <w:rPr>
                <w:rFonts w:ascii="바탕체" w:eastAsia="바탕체" w:hAnsi="바탕체" w:cs="맑은 고딕" w:hint="eastAsia"/>
                <w:b/>
                <w:bCs/>
                <w:sz w:val="18"/>
                <w:szCs w:val="18"/>
              </w:rPr>
              <w:br/>
              <w:t>Metric2=MSPE)</w:t>
            </w:r>
          </w:p>
        </w:tc>
        <w:tc>
          <w:tcPr>
            <w:tcW w:w="778" w:type="dxa"/>
            <w:tcBorders>
              <w:top w:val="single" w:sz="4" w:space="0" w:color="auto"/>
            </w:tcBorders>
            <w:noWrap/>
            <w:hideMark/>
          </w:tcPr>
          <w:p w14:paraId="006B3FD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6.946</w:t>
            </w:r>
          </w:p>
        </w:tc>
        <w:tc>
          <w:tcPr>
            <w:tcW w:w="778" w:type="dxa"/>
            <w:tcBorders>
              <w:top w:val="single" w:sz="4" w:space="0" w:color="auto"/>
            </w:tcBorders>
            <w:noWrap/>
            <w:hideMark/>
          </w:tcPr>
          <w:p w14:paraId="2D7C9A5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0.259</w:t>
            </w:r>
          </w:p>
        </w:tc>
        <w:tc>
          <w:tcPr>
            <w:tcW w:w="1020" w:type="dxa"/>
            <w:tcBorders>
              <w:top w:val="single" w:sz="4" w:space="0" w:color="auto"/>
            </w:tcBorders>
            <w:noWrap/>
            <w:hideMark/>
          </w:tcPr>
          <w:p w14:paraId="203A75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DCB7E9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tcBorders>
              <w:top w:val="single" w:sz="4" w:space="0" w:color="auto"/>
            </w:tcBorders>
            <w:noWrap/>
            <w:hideMark/>
          </w:tcPr>
          <w:p w14:paraId="02C38B5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04133100" w14:textId="77777777" w:rsidTr="006A2E80">
        <w:trPr>
          <w:trHeight w:val="340"/>
        </w:trPr>
        <w:tc>
          <w:tcPr>
            <w:tcW w:w="2031" w:type="dxa"/>
            <w:vMerge/>
            <w:hideMark/>
          </w:tcPr>
          <w:p w14:paraId="7BBCDE1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17A0F21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6.976</w:t>
            </w:r>
          </w:p>
        </w:tc>
        <w:tc>
          <w:tcPr>
            <w:tcW w:w="778" w:type="dxa"/>
            <w:noWrap/>
            <w:hideMark/>
          </w:tcPr>
          <w:p w14:paraId="14755A1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0.261</w:t>
            </w:r>
          </w:p>
        </w:tc>
        <w:tc>
          <w:tcPr>
            <w:tcW w:w="1020" w:type="dxa"/>
            <w:noWrap/>
            <w:hideMark/>
          </w:tcPr>
          <w:p w14:paraId="750EF5F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59FF8A2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Sentiment(All)</w:t>
            </w:r>
          </w:p>
        </w:tc>
        <w:tc>
          <w:tcPr>
            <w:tcW w:w="929" w:type="dxa"/>
            <w:noWrap/>
            <w:hideMark/>
          </w:tcPr>
          <w:p w14:paraId="3B63F0A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D475F30" w14:textId="77777777" w:rsidTr="006A2E80">
        <w:trPr>
          <w:trHeight w:val="340"/>
        </w:trPr>
        <w:tc>
          <w:tcPr>
            <w:tcW w:w="2031" w:type="dxa"/>
            <w:vMerge/>
            <w:hideMark/>
          </w:tcPr>
          <w:p w14:paraId="6F4B7EA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479D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6.995</w:t>
            </w:r>
          </w:p>
        </w:tc>
        <w:tc>
          <w:tcPr>
            <w:tcW w:w="778" w:type="dxa"/>
            <w:noWrap/>
            <w:hideMark/>
          </w:tcPr>
          <w:p w14:paraId="5C62916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noWrap/>
            <w:hideMark/>
          </w:tcPr>
          <w:p w14:paraId="4C7248D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LSTM</w:t>
            </w:r>
          </w:p>
        </w:tc>
        <w:tc>
          <w:tcPr>
            <w:tcW w:w="2968" w:type="dxa"/>
            <w:noWrap/>
            <w:hideMark/>
          </w:tcPr>
          <w:p w14:paraId="5761EB3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6289D89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1511CBC" w14:textId="77777777" w:rsidTr="006A2E80">
        <w:trPr>
          <w:trHeight w:val="340"/>
        </w:trPr>
        <w:tc>
          <w:tcPr>
            <w:tcW w:w="2031" w:type="dxa"/>
            <w:vMerge/>
            <w:hideMark/>
          </w:tcPr>
          <w:p w14:paraId="161BAD1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CB765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6.996</w:t>
            </w:r>
          </w:p>
        </w:tc>
        <w:tc>
          <w:tcPr>
            <w:tcW w:w="778" w:type="dxa"/>
            <w:noWrap/>
            <w:hideMark/>
          </w:tcPr>
          <w:p w14:paraId="1E86AEA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0.263</w:t>
            </w:r>
          </w:p>
        </w:tc>
        <w:tc>
          <w:tcPr>
            <w:tcW w:w="1020" w:type="dxa"/>
            <w:noWrap/>
            <w:hideMark/>
          </w:tcPr>
          <w:p w14:paraId="2FE83E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BABCC5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8CA3B4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7EE93D53" w14:textId="77777777" w:rsidTr="006A2E80">
        <w:trPr>
          <w:trHeight w:val="340"/>
        </w:trPr>
        <w:tc>
          <w:tcPr>
            <w:tcW w:w="2031" w:type="dxa"/>
            <w:vMerge/>
            <w:tcBorders>
              <w:bottom w:val="single" w:sz="4" w:space="0" w:color="auto"/>
            </w:tcBorders>
            <w:hideMark/>
          </w:tcPr>
          <w:p w14:paraId="2FC8417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30857FE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7.000</w:t>
            </w:r>
          </w:p>
        </w:tc>
        <w:tc>
          <w:tcPr>
            <w:tcW w:w="778" w:type="dxa"/>
            <w:tcBorders>
              <w:bottom w:val="single" w:sz="4" w:space="0" w:color="auto"/>
            </w:tcBorders>
            <w:noWrap/>
            <w:hideMark/>
          </w:tcPr>
          <w:p w14:paraId="0C878C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tcBorders>
              <w:bottom w:val="single" w:sz="4" w:space="0" w:color="auto"/>
            </w:tcBorders>
            <w:noWrap/>
            <w:hideMark/>
          </w:tcPr>
          <w:p w14:paraId="4736C7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GRU</w:t>
            </w:r>
          </w:p>
        </w:tc>
        <w:tc>
          <w:tcPr>
            <w:tcW w:w="2968" w:type="dxa"/>
            <w:tcBorders>
              <w:bottom w:val="single" w:sz="4" w:space="0" w:color="auto"/>
            </w:tcBorders>
            <w:noWrap/>
            <w:hideMark/>
          </w:tcPr>
          <w:p w14:paraId="1B9DC8E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Only</w:t>
            </w:r>
          </w:p>
        </w:tc>
        <w:tc>
          <w:tcPr>
            <w:tcW w:w="929" w:type="dxa"/>
            <w:tcBorders>
              <w:bottom w:val="single" w:sz="4" w:space="0" w:color="auto"/>
            </w:tcBorders>
            <w:noWrap/>
            <w:hideMark/>
          </w:tcPr>
          <w:p w14:paraId="0F31A73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4FAAA2E3" w14:textId="77777777" w:rsidTr="006A2E80">
        <w:trPr>
          <w:trHeight w:val="340"/>
        </w:trPr>
        <w:tc>
          <w:tcPr>
            <w:tcW w:w="2031" w:type="dxa"/>
            <w:vMerge w:val="restart"/>
            <w:tcBorders>
              <w:top w:val="single" w:sz="4" w:space="0" w:color="auto"/>
            </w:tcBorders>
            <w:hideMark/>
          </w:tcPr>
          <w:p w14:paraId="54E2908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전반적 환율예측 정확성</w:t>
            </w:r>
            <w:r w:rsidRPr="001A0495">
              <w:rPr>
                <w:rFonts w:ascii="바탕체" w:eastAsia="바탕체" w:hAnsi="바탕체" w:cs="맑은 고딕" w:hint="eastAsia"/>
                <w:b/>
                <w:bCs/>
                <w:sz w:val="18"/>
                <w:szCs w:val="18"/>
              </w:rPr>
              <w:br/>
              <w:t xml:space="preserve">(Metric1=MAE, </w:t>
            </w:r>
            <w:r w:rsidRPr="001A0495">
              <w:rPr>
                <w:rFonts w:ascii="바탕체" w:eastAsia="바탕체" w:hAnsi="바탕체" w:cs="맑은 고딕" w:hint="eastAsia"/>
                <w:b/>
                <w:bCs/>
                <w:sz w:val="18"/>
                <w:szCs w:val="18"/>
              </w:rPr>
              <w:br/>
              <w:t>Metric2=MAPE)</w:t>
            </w:r>
          </w:p>
        </w:tc>
        <w:tc>
          <w:tcPr>
            <w:tcW w:w="778" w:type="dxa"/>
            <w:tcBorders>
              <w:top w:val="single" w:sz="4" w:space="0" w:color="auto"/>
            </w:tcBorders>
            <w:noWrap/>
            <w:hideMark/>
          </w:tcPr>
          <w:p w14:paraId="12CED91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5.357</w:t>
            </w:r>
          </w:p>
        </w:tc>
        <w:tc>
          <w:tcPr>
            <w:tcW w:w="778" w:type="dxa"/>
            <w:tcBorders>
              <w:top w:val="single" w:sz="4" w:space="0" w:color="auto"/>
            </w:tcBorders>
            <w:noWrap/>
            <w:hideMark/>
          </w:tcPr>
          <w:p w14:paraId="246A35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tcBorders>
              <w:top w:val="single" w:sz="4" w:space="0" w:color="auto"/>
            </w:tcBorders>
            <w:noWrap/>
            <w:hideMark/>
          </w:tcPr>
          <w:p w14:paraId="1983C45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CNN_GRU</w:t>
            </w:r>
          </w:p>
        </w:tc>
        <w:tc>
          <w:tcPr>
            <w:tcW w:w="2968" w:type="dxa"/>
            <w:tcBorders>
              <w:top w:val="single" w:sz="4" w:space="0" w:color="auto"/>
            </w:tcBorders>
            <w:noWrap/>
            <w:hideMark/>
          </w:tcPr>
          <w:p w14:paraId="6F1029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A1AC2A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44FE3BDD" w14:textId="77777777" w:rsidTr="006A2E80">
        <w:trPr>
          <w:trHeight w:val="340"/>
        </w:trPr>
        <w:tc>
          <w:tcPr>
            <w:tcW w:w="2031" w:type="dxa"/>
            <w:vMerge/>
            <w:hideMark/>
          </w:tcPr>
          <w:p w14:paraId="6037C1F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561929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5.363</w:t>
            </w:r>
          </w:p>
        </w:tc>
        <w:tc>
          <w:tcPr>
            <w:tcW w:w="778" w:type="dxa"/>
            <w:noWrap/>
            <w:hideMark/>
          </w:tcPr>
          <w:p w14:paraId="1E53340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noWrap/>
            <w:hideMark/>
          </w:tcPr>
          <w:p w14:paraId="78FF2F4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70C5AEF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6AD6942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4FCB0D65" w14:textId="77777777" w:rsidTr="006A2E80">
        <w:trPr>
          <w:trHeight w:val="340"/>
        </w:trPr>
        <w:tc>
          <w:tcPr>
            <w:tcW w:w="2031" w:type="dxa"/>
            <w:vMerge/>
            <w:hideMark/>
          </w:tcPr>
          <w:p w14:paraId="684B60D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2ECE932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5.364</w:t>
            </w:r>
          </w:p>
        </w:tc>
        <w:tc>
          <w:tcPr>
            <w:tcW w:w="778" w:type="dxa"/>
            <w:noWrap/>
            <w:hideMark/>
          </w:tcPr>
          <w:p w14:paraId="45F0662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328CEE3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639AB4D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4117F97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10</w:t>
            </w:r>
          </w:p>
        </w:tc>
      </w:tr>
      <w:tr w:rsidR="002D04DC" w:rsidRPr="006539F6" w14:paraId="41C97BAB" w14:textId="77777777" w:rsidTr="006A2E80">
        <w:trPr>
          <w:trHeight w:val="340"/>
        </w:trPr>
        <w:tc>
          <w:tcPr>
            <w:tcW w:w="2031" w:type="dxa"/>
            <w:vMerge/>
            <w:tcBorders>
              <w:bottom w:val="single" w:sz="4" w:space="0" w:color="auto"/>
            </w:tcBorders>
            <w:hideMark/>
          </w:tcPr>
          <w:p w14:paraId="3BCDC5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601E38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5.378</w:t>
            </w:r>
          </w:p>
        </w:tc>
        <w:tc>
          <w:tcPr>
            <w:tcW w:w="778" w:type="dxa"/>
            <w:noWrap/>
            <w:hideMark/>
          </w:tcPr>
          <w:p w14:paraId="026B975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749AC27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0226C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73A2A60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22C9C3EE" w14:textId="77777777" w:rsidTr="006A2E80">
        <w:trPr>
          <w:trHeight w:val="340"/>
        </w:trPr>
        <w:tc>
          <w:tcPr>
            <w:tcW w:w="2031" w:type="dxa"/>
            <w:vMerge/>
            <w:tcBorders>
              <w:top w:val="single" w:sz="4" w:space="0" w:color="auto"/>
              <w:bottom w:val="single" w:sz="4" w:space="0" w:color="auto"/>
            </w:tcBorders>
            <w:hideMark/>
          </w:tcPr>
          <w:p w14:paraId="699A307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5B41AA1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5.383</w:t>
            </w:r>
          </w:p>
        </w:tc>
        <w:tc>
          <w:tcPr>
            <w:tcW w:w="778" w:type="dxa"/>
            <w:tcBorders>
              <w:bottom w:val="single" w:sz="4" w:space="0" w:color="auto"/>
            </w:tcBorders>
            <w:noWrap/>
            <w:hideMark/>
          </w:tcPr>
          <w:p w14:paraId="0127B11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0.394</w:t>
            </w:r>
          </w:p>
        </w:tc>
        <w:tc>
          <w:tcPr>
            <w:tcW w:w="1020" w:type="dxa"/>
            <w:tcBorders>
              <w:bottom w:val="single" w:sz="4" w:space="0" w:color="auto"/>
            </w:tcBorders>
            <w:noWrap/>
            <w:hideMark/>
          </w:tcPr>
          <w:p w14:paraId="6AC18C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tcBorders>
              <w:bottom w:val="single" w:sz="4" w:space="0" w:color="auto"/>
            </w:tcBorders>
            <w:noWrap/>
            <w:hideMark/>
          </w:tcPr>
          <w:p w14:paraId="1E3EDA7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tcBorders>
              <w:bottom w:val="single" w:sz="4" w:space="0" w:color="auto"/>
            </w:tcBorders>
            <w:noWrap/>
            <w:hideMark/>
          </w:tcPr>
          <w:p w14:paraId="6C4EB6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14A1ADFA" w14:textId="77777777" w:rsidTr="006A2E80">
        <w:trPr>
          <w:trHeight w:val="340"/>
        </w:trPr>
        <w:tc>
          <w:tcPr>
            <w:tcW w:w="2031" w:type="dxa"/>
            <w:vMerge w:val="restart"/>
            <w:tcBorders>
              <w:top w:val="single" w:sz="4" w:space="0" w:color="auto"/>
            </w:tcBorders>
            <w:hideMark/>
          </w:tcPr>
          <w:p w14:paraId="316E495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비정상적 환율변동에 </w:t>
            </w:r>
            <w:r w:rsidRPr="001A0495">
              <w:rPr>
                <w:rFonts w:ascii="바탕체" w:eastAsia="바탕체" w:hAnsi="바탕체" w:cs="맑은 고딕" w:hint="eastAsia"/>
                <w:b/>
                <w:bCs/>
                <w:sz w:val="18"/>
                <w:szCs w:val="18"/>
              </w:rPr>
              <w:br/>
              <w:t>안정적 예측성능</w:t>
            </w:r>
            <w:r w:rsidRPr="001A0495">
              <w:rPr>
                <w:rFonts w:ascii="바탕체" w:eastAsia="바탕체" w:hAnsi="바탕체" w:cs="맑은 고딕" w:hint="eastAsia"/>
                <w:b/>
                <w:bCs/>
                <w:sz w:val="18"/>
                <w:szCs w:val="18"/>
              </w:rPr>
              <w:br/>
              <w:t xml:space="preserve">(Metric1=MedAE, </w:t>
            </w:r>
            <w:r w:rsidRPr="001A0495">
              <w:rPr>
                <w:rFonts w:ascii="바탕체" w:eastAsia="바탕체" w:hAnsi="바탕체" w:cs="맑은 고딕" w:hint="eastAsia"/>
                <w:b/>
                <w:bCs/>
                <w:sz w:val="18"/>
                <w:szCs w:val="18"/>
              </w:rPr>
              <w:br/>
              <w:t>Metric2=MedAPE)</w:t>
            </w:r>
          </w:p>
        </w:tc>
        <w:tc>
          <w:tcPr>
            <w:tcW w:w="778" w:type="dxa"/>
            <w:tcBorders>
              <w:top w:val="single" w:sz="4" w:space="0" w:color="auto"/>
            </w:tcBorders>
            <w:noWrap/>
            <w:hideMark/>
          </w:tcPr>
          <w:p w14:paraId="6EFF89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4.317</w:t>
            </w:r>
          </w:p>
        </w:tc>
        <w:tc>
          <w:tcPr>
            <w:tcW w:w="778" w:type="dxa"/>
            <w:tcBorders>
              <w:top w:val="single" w:sz="4" w:space="0" w:color="auto"/>
            </w:tcBorders>
            <w:noWrap/>
            <w:hideMark/>
          </w:tcPr>
          <w:p w14:paraId="5C51CF9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tcBorders>
              <w:top w:val="single" w:sz="4" w:space="0" w:color="auto"/>
            </w:tcBorders>
            <w:noWrap/>
            <w:hideMark/>
          </w:tcPr>
          <w:p w14:paraId="4994FB8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381CAD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 + Sentiment(Direct)</w:t>
            </w:r>
          </w:p>
        </w:tc>
        <w:tc>
          <w:tcPr>
            <w:tcW w:w="929" w:type="dxa"/>
            <w:tcBorders>
              <w:top w:val="single" w:sz="4" w:space="0" w:color="auto"/>
            </w:tcBorders>
            <w:noWrap/>
            <w:hideMark/>
          </w:tcPr>
          <w:p w14:paraId="5550B7A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26AE632A" w14:textId="77777777" w:rsidTr="006A2E80">
        <w:trPr>
          <w:trHeight w:val="340"/>
        </w:trPr>
        <w:tc>
          <w:tcPr>
            <w:tcW w:w="2031" w:type="dxa"/>
            <w:vMerge/>
            <w:hideMark/>
          </w:tcPr>
          <w:p w14:paraId="199C076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11D5652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4.358</w:t>
            </w:r>
          </w:p>
        </w:tc>
        <w:tc>
          <w:tcPr>
            <w:tcW w:w="778" w:type="dxa"/>
            <w:noWrap/>
            <w:hideMark/>
          </w:tcPr>
          <w:p w14:paraId="4296FF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0.316</w:t>
            </w:r>
          </w:p>
        </w:tc>
        <w:tc>
          <w:tcPr>
            <w:tcW w:w="1020" w:type="dxa"/>
            <w:noWrap/>
            <w:hideMark/>
          </w:tcPr>
          <w:p w14:paraId="35D5E73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6A14D90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3CD7323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90</w:t>
            </w:r>
          </w:p>
        </w:tc>
      </w:tr>
      <w:tr w:rsidR="002D04DC" w:rsidRPr="006539F6" w14:paraId="51CAF86A" w14:textId="77777777" w:rsidTr="006A2E80">
        <w:trPr>
          <w:trHeight w:val="340"/>
        </w:trPr>
        <w:tc>
          <w:tcPr>
            <w:tcW w:w="2031" w:type="dxa"/>
            <w:vMerge/>
            <w:hideMark/>
          </w:tcPr>
          <w:p w14:paraId="0B1F0D6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4152561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4.366</w:t>
            </w:r>
          </w:p>
        </w:tc>
        <w:tc>
          <w:tcPr>
            <w:tcW w:w="778" w:type="dxa"/>
            <w:noWrap/>
            <w:hideMark/>
          </w:tcPr>
          <w:p w14:paraId="0EBDFEF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noWrap/>
            <w:hideMark/>
          </w:tcPr>
          <w:p w14:paraId="29E9E85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0D8369C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57E1A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6BE551E6" w14:textId="77777777" w:rsidTr="006A2E80">
        <w:trPr>
          <w:trHeight w:val="340"/>
        </w:trPr>
        <w:tc>
          <w:tcPr>
            <w:tcW w:w="2031" w:type="dxa"/>
            <w:vMerge/>
            <w:hideMark/>
          </w:tcPr>
          <w:p w14:paraId="72A8CD8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50E19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4.396</w:t>
            </w:r>
          </w:p>
        </w:tc>
        <w:tc>
          <w:tcPr>
            <w:tcW w:w="778" w:type="dxa"/>
            <w:noWrap/>
            <w:hideMark/>
          </w:tcPr>
          <w:p w14:paraId="79885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0.321</w:t>
            </w:r>
          </w:p>
        </w:tc>
        <w:tc>
          <w:tcPr>
            <w:tcW w:w="1020" w:type="dxa"/>
            <w:noWrap/>
            <w:hideMark/>
          </w:tcPr>
          <w:p w14:paraId="7E9C46C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4C5355D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 + Sentiment(Direct)</w:t>
            </w:r>
          </w:p>
        </w:tc>
        <w:tc>
          <w:tcPr>
            <w:tcW w:w="929" w:type="dxa"/>
            <w:noWrap/>
            <w:hideMark/>
          </w:tcPr>
          <w:p w14:paraId="34102EE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10EBC269" w14:textId="77777777" w:rsidTr="006A2E80">
        <w:trPr>
          <w:trHeight w:val="340"/>
        </w:trPr>
        <w:tc>
          <w:tcPr>
            <w:tcW w:w="2031" w:type="dxa"/>
            <w:vMerge/>
            <w:tcBorders>
              <w:bottom w:val="single" w:sz="4" w:space="0" w:color="auto"/>
            </w:tcBorders>
            <w:hideMark/>
          </w:tcPr>
          <w:p w14:paraId="5783E4E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tcBorders>
              <w:bottom w:val="single" w:sz="4" w:space="0" w:color="auto"/>
            </w:tcBorders>
            <w:noWrap/>
            <w:hideMark/>
          </w:tcPr>
          <w:p w14:paraId="79F177F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4.400</w:t>
            </w:r>
          </w:p>
        </w:tc>
        <w:tc>
          <w:tcPr>
            <w:tcW w:w="778" w:type="dxa"/>
            <w:tcBorders>
              <w:bottom w:val="single" w:sz="4" w:space="0" w:color="auto"/>
            </w:tcBorders>
            <w:noWrap/>
            <w:hideMark/>
          </w:tcPr>
          <w:p w14:paraId="3F9416D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0.323</w:t>
            </w:r>
          </w:p>
        </w:tc>
        <w:tc>
          <w:tcPr>
            <w:tcW w:w="1020" w:type="dxa"/>
            <w:tcBorders>
              <w:bottom w:val="single" w:sz="4" w:space="0" w:color="auto"/>
            </w:tcBorders>
            <w:noWrap/>
            <w:hideMark/>
          </w:tcPr>
          <w:p w14:paraId="2F3D4DB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tcBorders>
              <w:bottom w:val="single" w:sz="4" w:space="0" w:color="auto"/>
            </w:tcBorders>
            <w:noWrap/>
            <w:hideMark/>
          </w:tcPr>
          <w:p w14:paraId="5DDA1E0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Sentiment(Direct+Indirect)</w:t>
            </w:r>
          </w:p>
        </w:tc>
        <w:tc>
          <w:tcPr>
            <w:tcW w:w="929" w:type="dxa"/>
            <w:tcBorders>
              <w:bottom w:val="single" w:sz="4" w:space="0" w:color="auto"/>
            </w:tcBorders>
            <w:noWrap/>
            <w:hideMark/>
          </w:tcPr>
          <w:p w14:paraId="13BE91C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60</w:t>
            </w:r>
          </w:p>
        </w:tc>
      </w:tr>
    </w:tbl>
    <w:p w14:paraId="1FC9D5C5" w14:textId="77777777" w:rsidR="002D04DC" w:rsidRDefault="002D04DC" w:rsidP="008F1E88">
      <w:pPr>
        <w:wordWrap/>
        <w:spacing w:line="420" w:lineRule="auto"/>
        <w:jc w:val="both"/>
        <w:rPr>
          <w:rFonts w:ascii="바탕체" w:eastAsia="바탕체" w:hAnsi="바탕체" w:cs="Times New Roman"/>
          <w:sz w:val="20"/>
          <w:szCs w:val="20"/>
        </w:rPr>
      </w:pPr>
    </w:p>
    <w:p w14:paraId="4FBC42DE" w14:textId="7FF04547" w:rsidR="002D04DC" w:rsidRDefault="002D04DC" w:rsidP="002D04DC">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활용 목적별 환율 예측 성능 검증과 변수 중요도 분석</w:t>
      </w:r>
    </w:p>
    <w:p w14:paraId="7B693AF7" w14:textId="56177E7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 xml:space="preserve">본 절에서는 앞서 식별된 최적 모델 조합을 활용하여 2020년부터 2024년까지의 원/달러 환율 예측 결과를 시각화하고, 예측에 기여한 주요 변수의 상대적 중요도를 정량적으로 </w:t>
      </w:r>
      <w:r w:rsidRPr="00C7665A">
        <w:rPr>
          <w:rFonts w:ascii="바탕체" w:eastAsia="바탕체" w:hAnsi="바탕체" w:cs="Times New Roman"/>
          <w:sz w:val="20"/>
          <w:szCs w:val="20"/>
        </w:rPr>
        <w:lastRenderedPageBreak/>
        <w:t>평가하였다.분석 결과, 제안된 LSTM</w:t>
      </w:r>
      <w:r w:rsidR="00042A49">
        <w:rPr>
          <w:rFonts w:ascii="바탕체" w:eastAsia="바탕체" w:hAnsi="바탕체" w:cs="Times New Roman" w:hint="eastAsia"/>
          <w:sz w:val="20"/>
          <w:szCs w:val="20"/>
        </w:rPr>
        <w:t xml:space="preserve"> 및 CNN-GRU</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미학습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분석 결과, 모든 모델은 코로나19 팬데믹 이후의 유동성 확장기(2020–2021), 미 연준의 긴축에 따른 환율 급등기(2022),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내재화했음을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고빈도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19">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0">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1">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2">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lastRenderedPageBreak/>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 xml:space="preserve">20) 모델의 경우, S&amp;P500과 KOSDAQ 종가가 가장 높은 중요도를 보였다. 이는 글로벌 및 국내 주식시장 흐름이 환율 변동의 선행 신호로 </w:t>
      </w:r>
      <w:r w:rsidRPr="00490774">
        <w:rPr>
          <w:rFonts w:ascii="바탕체" w:eastAsia="바탕체" w:hAnsi="바탕체" w:cs="Times New Roman"/>
          <w:sz w:val="20"/>
          <w:szCs w:val="20"/>
        </w:rPr>
        <w:lastRenderedPageBreak/>
        <w:t>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변수(gkg_kr_loc_cnt)는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금 가격(XAU Price) 이 압도적으로 높은 중요도를 보여 환율 변동의 핵심 결정 요인임을 확인하였다. 그다음으로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뉴스량(Direct News Count)과 감성 톤(Direct Sentiment Mean)이 모두 상위권에 위치한 점은, 정보 확산과 시장 정서의 변동이 단기 환율 움직임에 실질적인 영향을 미친다는 점을 시사한다. 반면, 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w:t>
      </w:r>
      <w:r w:rsidRPr="00FA4F06">
        <w:rPr>
          <w:rFonts w:ascii="바탕체" w:eastAsia="바탕체" w:hAnsi="바탕체" w:cs="Times New Roman"/>
          <w:sz w:val="20"/>
          <w:szCs w:val="20"/>
        </w:rPr>
        <w:lastRenderedPageBreak/>
        <w:t xml:space="preserve">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금 가격(XAU Price) 이 가장 높은 중요도를 보였으며, 이는 실물자산이 환율 변동의 구조적 기반 요인임을 명확히 보여준다. 그다음으로 뉴스 개수(Direct News Count) 와 GDELT 문서 수(gkg_doc_cnt)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거시경제 및 금융시장 변수군(Macro/Market) 이 환율 예측의 기반 신호로 가장 큰 비중을 차지하였고, 이벤트(Event) 변수 는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정보 확산 관련 변수(Direct News Count, GDELT 문서 수) 가 높은 중요도를 보이며, 뉴스량과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xml:space="preserve">, KOSDAQ 거래량, USD/KRW 시가, 주요 교환비율(USD/CNY, USD/JPY) 등 금융시장 변수군과 미국 10년물 금리(US10y), CPI, </w:t>
      </w:r>
      <w:r w:rsidRPr="00786626">
        <w:rPr>
          <w:rFonts w:ascii="바탕체" w:eastAsia="바탕체" w:hAnsi="바탕체" w:cs="Times New Roman"/>
          <w:sz w:val="20"/>
          <w:szCs w:val="20"/>
        </w:rPr>
        <w:lastRenderedPageBreak/>
        <w:t>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6D531B0D"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창구별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hint="eastAsia"/>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26">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hint="eastAsia"/>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27">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hint="eastAsia"/>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w:t>
      </w:r>
      <w:r w:rsidR="006D45A0">
        <w:rPr>
          <w:rFonts w:ascii="바탕체" w:eastAsia="바탕체" w:hAnsi="바탕체" w:cs="Times New Roman" w:hint="eastAsia"/>
          <w:b/>
          <w:bCs/>
          <w:sz w:val="20"/>
          <w:szCs w:val="20"/>
        </w:rPr>
        <w:t>에서의 변수 중요도 분석 결과</w:t>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Ⅴ</w:t>
      </w:r>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합성곱–순환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091B3BF6"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고빈도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고빈도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스왑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정합화한다.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창구의 CNN-GRU(Macro+Event+Direct Sentiment)와 30일 창구의 LSTM(Macro+Event)가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적 대응</w:t>
      </w:r>
      <w:r w:rsidRPr="003535C1">
        <w:rPr>
          <w:rFonts w:ascii="바탕체" w:eastAsia="바탕체" w:hAnsi="바탕체" w:cs="Times New Roman"/>
          <w:sz w:val="20"/>
          <w:szCs w:val="20"/>
        </w:rPr>
        <w:t>시 두 창구의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고빈도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r w:rsidRPr="007121C5">
        <w:rPr>
          <w:rFonts w:ascii="바탕체" w:eastAsia="바탕체" w:hAnsi="바탕체" w:cs="Times New Roman"/>
          <w:sz w:val="20"/>
          <w:szCs w:val="20"/>
        </w:rPr>
        <w:t>Macro+Event(±Direct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Ⅵ</w:t>
      </w:r>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Event+Sentiment의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RobustScaler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시드</w:t>
      </w:r>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462E6642"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창구가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글로벌 사건 중심으로 동태적으로 전이 됨이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entiment)과 같은 고빈도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07656F6"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창구에 따라 달라졌다. 단기에서는 합성곱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고변동</w:t>
      </w:r>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 는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강건성(MedAE·MedAPE)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 xml:space="preserve">oundation) 으로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변수를 과도하게 결합할 경우 정보 중복과 다중공선성(</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Permutation Importance 분석은 이러한 구조적 전이를 계량적으로 뒷받침한다. Macro+Event+LSTM(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20)에서는 S&amp;P500, KOSDAQ, 금(XAU), CPI 가 최상위 요인으로, Macro+Event+Sentiment(Direct)+LSTM(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뉴스량(Direct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0BCA7D3D"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Permutation Importance 분석 결과는 이러한 시간 창구별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Macro + Event + Sentiment(Direct) + CNN-GRU (Lookback=20) 모델에서는 금(XAU Price) 이 여전히 핵심 변수로 유지되었으나, 그다음으로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수(gkg_doc_cnt)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확산(뉴스량</w:t>
      </w:r>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 는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63114FA5"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전처리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평가 체계하에서, 시간 창구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입력 신호 간의 상호작용 효과를 계량적으로 검증하고, Radar chart 및 중요도 분석을 통해 그 전이 과정을 시각화하였다.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285F8D7B"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창구별 맞춤형 모델 포트폴리오를 설계해야 하며, Macro+Event를 공통 코어로 유지하면서 중기 구간에서는 Direct Sentiment를 선택적으로 결합하는 것이 가장 합리적이다. 단기 고빈도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헷지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창구별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통화쌍(KRW/USD)에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orecasting), 정책 및 지정학 이벤트의 세분 인코딩, 대규모 언어모델(LLM)을 활용한 고급 감성 추출, 정책 불확실성 및 금융 스트레스 지수의 통합, Transformer 기반 멀티모달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389A3826"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본 연구는 환율 예측의 본질이 시간 창구별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고변동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A. 변수 상관관계 히트맵</w:t>
      </w:r>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는 변수 간 상관관계 히트맵을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히트맵</w:t>
      </w:r>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FinBERT: Financial sentiment analysis with pre-trained language models. </w:t>
      </w:r>
      <w:r w:rsidRPr="002D6DE0">
        <w:rPr>
          <w:rFonts w:ascii="바탕체" w:eastAsia="바탕체" w:hAnsi="바탕체" w:cs="Times New Roman"/>
          <w:i/>
          <w:iCs/>
          <w:sz w:val="20"/>
          <w:szCs w:val="20"/>
        </w:rPr>
        <w:t>arXiv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Blanqué, P., Ben Slimane, M., Cherief, A., Le Guenedal, T., Sekine, T., &amp; Stagnol,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Gelbukh,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Demazeau,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Tiozzo Pezzoli, L., &amp; Tosetti, E. (2020). Information extraction from the GDELT database to analyse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Bopaiah, Y., Chembachere,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Faroog, S., Dewi, D. A., Abdullah, S. N., &amp; Malek, B. A. (2024). EUR/USD exchange rate forecasting incorporating text mining based on pre-trained language models and deep learning methods. </w:t>
      </w:r>
      <w:r w:rsidRPr="002D6DE0">
        <w:rPr>
          <w:rFonts w:ascii="바탕체" w:eastAsia="바탕체" w:hAnsi="바탕체" w:cs="Times New Roman"/>
          <w:i/>
          <w:iCs/>
          <w:sz w:val="20"/>
          <w:szCs w:val="20"/>
        </w:rPr>
        <w:t>arXiv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r w:rsidRPr="002D6DE0">
        <w:rPr>
          <w:rFonts w:ascii="바탕체" w:eastAsia="바탕체" w:hAnsi="바탕체" w:cs="Times New Roman"/>
          <w:i/>
          <w:iCs/>
          <w:sz w:val="20"/>
          <w:szCs w:val="20"/>
        </w:rPr>
        <w:t>arXiv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Schmidhuber,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FinBERT’s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Vijayvergia, P., &amp; Anastasiu,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(BigDataService).</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Nasiopoulos, D. K., Roumeliotis, K. I., Sakas, D. P., Toudas, K., &amp; Reklitis,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Plakandaras,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Schroeder, C., Winterbottom, S., Sitter, R., &amp; Perdigones,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FinBERT.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박영사.</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한규식.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국고채, 금리 스왑 그리고 통화 스왑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오인정, &amp; 김우주.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정가연, 이혁제, 이준영, &amp; 이제혁.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r>
        <w:rPr>
          <w:rFonts w:ascii="Times New Roman" w:eastAsia="바탕체" w:hAnsi="Times New Roman" w:cs="Times New Roman" w:hint="eastAsia"/>
          <w:sz w:val="24"/>
          <w:szCs w:val="28"/>
        </w:rPr>
        <w:t>Jaeheung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r w:rsidR="00FC4355" w:rsidRPr="00FC4355">
        <w:rPr>
          <w:rFonts w:ascii="Times New Roman" w:eastAsia="바탕체" w:hAnsi="Times New Roman" w:cs="Times New Roman"/>
          <w:sz w:val="24"/>
          <w:szCs w:val="28"/>
        </w:rPr>
        <w:t>Kyungwon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44EBC" w14:textId="77777777" w:rsidR="00AD64D8" w:rsidRDefault="00AD64D8" w:rsidP="007E2C50">
      <w:pPr>
        <w:spacing w:after="0"/>
      </w:pPr>
      <w:r>
        <w:separator/>
      </w:r>
    </w:p>
  </w:endnote>
  <w:endnote w:type="continuationSeparator" w:id="0">
    <w:p w14:paraId="39DBD886" w14:textId="77777777" w:rsidR="00AD64D8" w:rsidRDefault="00AD64D8"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561962" w14:textId="77777777" w:rsidR="00AD64D8" w:rsidRDefault="00AD64D8" w:rsidP="007E2C50">
      <w:pPr>
        <w:spacing w:after="0"/>
      </w:pPr>
      <w:r>
        <w:separator/>
      </w:r>
    </w:p>
  </w:footnote>
  <w:footnote w:type="continuationSeparator" w:id="0">
    <w:p w14:paraId="7B5423CE" w14:textId="77777777" w:rsidR="00AD64D8" w:rsidRDefault="00AD64D8"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515D"/>
    <w:rsid w:val="0000782B"/>
    <w:rsid w:val="00015D74"/>
    <w:rsid w:val="000205A2"/>
    <w:rsid w:val="00022CE9"/>
    <w:rsid w:val="00023372"/>
    <w:rsid w:val="000254CF"/>
    <w:rsid w:val="000313AC"/>
    <w:rsid w:val="00031524"/>
    <w:rsid w:val="00033495"/>
    <w:rsid w:val="0003382E"/>
    <w:rsid w:val="00037FB6"/>
    <w:rsid w:val="0004102F"/>
    <w:rsid w:val="00042848"/>
    <w:rsid w:val="00042A49"/>
    <w:rsid w:val="00042A53"/>
    <w:rsid w:val="000441AC"/>
    <w:rsid w:val="00046B2F"/>
    <w:rsid w:val="00047E6B"/>
    <w:rsid w:val="000501FB"/>
    <w:rsid w:val="00050B41"/>
    <w:rsid w:val="00050E9A"/>
    <w:rsid w:val="000529E4"/>
    <w:rsid w:val="00060A62"/>
    <w:rsid w:val="00065650"/>
    <w:rsid w:val="00065709"/>
    <w:rsid w:val="00066D9B"/>
    <w:rsid w:val="00067AA5"/>
    <w:rsid w:val="00070E19"/>
    <w:rsid w:val="00075654"/>
    <w:rsid w:val="0007590C"/>
    <w:rsid w:val="00075FDA"/>
    <w:rsid w:val="0007658E"/>
    <w:rsid w:val="00076FF3"/>
    <w:rsid w:val="00077F57"/>
    <w:rsid w:val="00081315"/>
    <w:rsid w:val="000843A6"/>
    <w:rsid w:val="000873F3"/>
    <w:rsid w:val="000946D7"/>
    <w:rsid w:val="000A21D5"/>
    <w:rsid w:val="000A6888"/>
    <w:rsid w:val="000B4667"/>
    <w:rsid w:val="000B4AFC"/>
    <w:rsid w:val="000B6DD9"/>
    <w:rsid w:val="000B79E9"/>
    <w:rsid w:val="000B7FBB"/>
    <w:rsid w:val="000C7CFF"/>
    <w:rsid w:val="000D31FF"/>
    <w:rsid w:val="000D439E"/>
    <w:rsid w:val="000D4976"/>
    <w:rsid w:val="000D5038"/>
    <w:rsid w:val="000D5F4C"/>
    <w:rsid w:val="000D76E1"/>
    <w:rsid w:val="000E1770"/>
    <w:rsid w:val="000E3652"/>
    <w:rsid w:val="000E5719"/>
    <w:rsid w:val="000E6380"/>
    <w:rsid w:val="000E72F9"/>
    <w:rsid w:val="000F6CEE"/>
    <w:rsid w:val="00100369"/>
    <w:rsid w:val="0010063E"/>
    <w:rsid w:val="00102B67"/>
    <w:rsid w:val="0010310B"/>
    <w:rsid w:val="001035F2"/>
    <w:rsid w:val="001044F1"/>
    <w:rsid w:val="00107DB4"/>
    <w:rsid w:val="001105B1"/>
    <w:rsid w:val="0011101D"/>
    <w:rsid w:val="001115C4"/>
    <w:rsid w:val="00112245"/>
    <w:rsid w:val="0011247C"/>
    <w:rsid w:val="00113153"/>
    <w:rsid w:val="001146D2"/>
    <w:rsid w:val="001147B1"/>
    <w:rsid w:val="00114D2C"/>
    <w:rsid w:val="001201A1"/>
    <w:rsid w:val="001248C8"/>
    <w:rsid w:val="001248D8"/>
    <w:rsid w:val="001250AC"/>
    <w:rsid w:val="00130559"/>
    <w:rsid w:val="00140F7A"/>
    <w:rsid w:val="00141105"/>
    <w:rsid w:val="0014480F"/>
    <w:rsid w:val="00144B30"/>
    <w:rsid w:val="00146A86"/>
    <w:rsid w:val="00146E8F"/>
    <w:rsid w:val="0014799D"/>
    <w:rsid w:val="001503A4"/>
    <w:rsid w:val="001514E5"/>
    <w:rsid w:val="001518AA"/>
    <w:rsid w:val="00151B1E"/>
    <w:rsid w:val="00154108"/>
    <w:rsid w:val="00154735"/>
    <w:rsid w:val="0015775C"/>
    <w:rsid w:val="001604A4"/>
    <w:rsid w:val="00166074"/>
    <w:rsid w:val="00167D5D"/>
    <w:rsid w:val="00170F7B"/>
    <w:rsid w:val="00172F34"/>
    <w:rsid w:val="00174AA9"/>
    <w:rsid w:val="00176945"/>
    <w:rsid w:val="00176B0F"/>
    <w:rsid w:val="00182C9F"/>
    <w:rsid w:val="001838C0"/>
    <w:rsid w:val="001853B6"/>
    <w:rsid w:val="00186565"/>
    <w:rsid w:val="00187ACF"/>
    <w:rsid w:val="001952E1"/>
    <w:rsid w:val="001A0495"/>
    <w:rsid w:val="001A6587"/>
    <w:rsid w:val="001B0EA0"/>
    <w:rsid w:val="001B390A"/>
    <w:rsid w:val="001B6EFF"/>
    <w:rsid w:val="001C0835"/>
    <w:rsid w:val="001C18F5"/>
    <w:rsid w:val="001C3614"/>
    <w:rsid w:val="001C55E8"/>
    <w:rsid w:val="001C5812"/>
    <w:rsid w:val="001D280F"/>
    <w:rsid w:val="001D38B9"/>
    <w:rsid w:val="001D3F8E"/>
    <w:rsid w:val="001D6B6A"/>
    <w:rsid w:val="001E5200"/>
    <w:rsid w:val="001E5B87"/>
    <w:rsid w:val="001E6247"/>
    <w:rsid w:val="001F023E"/>
    <w:rsid w:val="001F244E"/>
    <w:rsid w:val="001F6DD7"/>
    <w:rsid w:val="00203331"/>
    <w:rsid w:val="00206AC3"/>
    <w:rsid w:val="00210A93"/>
    <w:rsid w:val="0021302B"/>
    <w:rsid w:val="00213145"/>
    <w:rsid w:val="00214169"/>
    <w:rsid w:val="00215F3B"/>
    <w:rsid w:val="00217C9C"/>
    <w:rsid w:val="00221877"/>
    <w:rsid w:val="00222FCF"/>
    <w:rsid w:val="00230338"/>
    <w:rsid w:val="00234808"/>
    <w:rsid w:val="00235A34"/>
    <w:rsid w:val="00237D5A"/>
    <w:rsid w:val="00244F3A"/>
    <w:rsid w:val="002450B1"/>
    <w:rsid w:val="002453A3"/>
    <w:rsid w:val="002478B1"/>
    <w:rsid w:val="00247FD3"/>
    <w:rsid w:val="00251E52"/>
    <w:rsid w:val="00254EC6"/>
    <w:rsid w:val="00255AD0"/>
    <w:rsid w:val="00255BD5"/>
    <w:rsid w:val="002571E4"/>
    <w:rsid w:val="00277391"/>
    <w:rsid w:val="00280FD3"/>
    <w:rsid w:val="00285EFB"/>
    <w:rsid w:val="0029046B"/>
    <w:rsid w:val="00291196"/>
    <w:rsid w:val="0029490A"/>
    <w:rsid w:val="00297D92"/>
    <w:rsid w:val="002A5AE8"/>
    <w:rsid w:val="002A63A1"/>
    <w:rsid w:val="002A6DB4"/>
    <w:rsid w:val="002B0277"/>
    <w:rsid w:val="002B2AE8"/>
    <w:rsid w:val="002B4FDC"/>
    <w:rsid w:val="002B6AE8"/>
    <w:rsid w:val="002B77BF"/>
    <w:rsid w:val="002C1AF2"/>
    <w:rsid w:val="002C259D"/>
    <w:rsid w:val="002C4D2B"/>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771"/>
    <w:rsid w:val="003262C5"/>
    <w:rsid w:val="0032666A"/>
    <w:rsid w:val="003318B0"/>
    <w:rsid w:val="00334609"/>
    <w:rsid w:val="00335870"/>
    <w:rsid w:val="003374F2"/>
    <w:rsid w:val="003403A1"/>
    <w:rsid w:val="0034781E"/>
    <w:rsid w:val="003535C1"/>
    <w:rsid w:val="00353792"/>
    <w:rsid w:val="00353EAA"/>
    <w:rsid w:val="00355600"/>
    <w:rsid w:val="00355DA3"/>
    <w:rsid w:val="00356345"/>
    <w:rsid w:val="00362D43"/>
    <w:rsid w:val="00366807"/>
    <w:rsid w:val="00367D1B"/>
    <w:rsid w:val="003714A7"/>
    <w:rsid w:val="00371591"/>
    <w:rsid w:val="00372192"/>
    <w:rsid w:val="00380C75"/>
    <w:rsid w:val="003811A6"/>
    <w:rsid w:val="00382705"/>
    <w:rsid w:val="00382CD8"/>
    <w:rsid w:val="00384513"/>
    <w:rsid w:val="003A0A53"/>
    <w:rsid w:val="003A4EFA"/>
    <w:rsid w:val="003A52D9"/>
    <w:rsid w:val="003A6707"/>
    <w:rsid w:val="003A7E29"/>
    <w:rsid w:val="003B2493"/>
    <w:rsid w:val="003B31FC"/>
    <w:rsid w:val="003B35FE"/>
    <w:rsid w:val="003C1485"/>
    <w:rsid w:val="003C1EF8"/>
    <w:rsid w:val="003C2BA6"/>
    <w:rsid w:val="003C48F4"/>
    <w:rsid w:val="003C6589"/>
    <w:rsid w:val="003D19ED"/>
    <w:rsid w:val="003D1DD9"/>
    <w:rsid w:val="003D3DA8"/>
    <w:rsid w:val="003D401D"/>
    <w:rsid w:val="003D4C13"/>
    <w:rsid w:val="003D5149"/>
    <w:rsid w:val="003D77B2"/>
    <w:rsid w:val="003E280E"/>
    <w:rsid w:val="003E3D7A"/>
    <w:rsid w:val="003E5743"/>
    <w:rsid w:val="003E5CF0"/>
    <w:rsid w:val="003E5DCE"/>
    <w:rsid w:val="003E7082"/>
    <w:rsid w:val="003F0852"/>
    <w:rsid w:val="003F19AA"/>
    <w:rsid w:val="003F5EDD"/>
    <w:rsid w:val="003F6030"/>
    <w:rsid w:val="00415970"/>
    <w:rsid w:val="00415AD3"/>
    <w:rsid w:val="00420A0A"/>
    <w:rsid w:val="00423C40"/>
    <w:rsid w:val="00431395"/>
    <w:rsid w:val="00431BF3"/>
    <w:rsid w:val="00431C66"/>
    <w:rsid w:val="0043227E"/>
    <w:rsid w:val="004330F6"/>
    <w:rsid w:val="0043399A"/>
    <w:rsid w:val="004351FA"/>
    <w:rsid w:val="00435952"/>
    <w:rsid w:val="00435E63"/>
    <w:rsid w:val="00436EA1"/>
    <w:rsid w:val="00437984"/>
    <w:rsid w:val="00440730"/>
    <w:rsid w:val="0044364C"/>
    <w:rsid w:val="004510C0"/>
    <w:rsid w:val="00452E79"/>
    <w:rsid w:val="004605A6"/>
    <w:rsid w:val="0046083B"/>
    <w:rsid w:val="00461C84"/>
    <w:rsid w:val="0046445C"/>
    <w:rsid w:val="004728DF"/>
    <w:rsid w:val="0047527E"/>
    <w:rsid w:val="00481F18"/>
    <w:rsid w:val="0048313C"/>
    <w:rsid w:val="00483FE9"/>
    <w:rsid w:val="00486A1D"/>
    <w:rsid w:val="004879CF"/>
    <w:rsid w:val="00490774"/>
    <w:rsid w:val="004935E2"/>
    <w:rsid w:val="004A1644"/>
    <w:rsid w:val="004A2D53"/>
    <w:rsid w:val="004A61CA"/>
    <w:rsid w:val="004B0D73"/>
    <w:rsid w:val="004B2AE3"/>
    <w:rsid w:val="004B6365"/>
    <w:rsid w:val="004B73C0"/>
    <w:rsid w:val="004C2B3C"/>
    <w:rsid w:val="004C3BCB"/>
    <w:rsid w:val="004C4D98"/>
    <w:rsid w:val="004C75D1"/>
    <w:rsid w:val="004D0304"/>
    <w:rsid w:val="004D1638"/>
    <w:rsid w:val="004D4F9C"/>
    <w:rsid w:val="004E47D9"/>
    <w:rsid w:val="004E7E03"/>
    <w:rsid w:val="004F0F22"/>
    <w:rsid w:val="004F5564"/>
    <w:rsid w:val="00500AC7"/>
    <w:rsid w:val="00500F90"/>
    <w:rsid w:val="005044A2"/>
    <w:rsid w:val="00512E1E"/>
    <w:rsid w:val="00514A2E"/>
    <w:rsid w:val="00515F1E"/>
    <w:rsid w:val="00517DA0"/>
    <w:rsid w:val="00521703"/>
    <w:rsid w:val="00523339"/>
    <w:rsid w:val="005233A2"/>
    <w:rsid w:val="005274D2"/>
    <w:rsid w:val="00532016"/>
    <w:rsid w:val="00534337"/>
    <w:rsid w:val="00534D43"/>
    <w:rsid w:val="00541C03"/>
    <w:rsid w:val="005462CB"/>
    <w:rsid w:val="00546D7D"/>
    <w:rsid w:val="00552E80"/>
    <w:rsid w:val="0055474C"/>
    <w:rsid w:val="00556CE7"/>
    <w:rsid w:val="005578F2"/>
    <w:rsid w:val="0056112A"/>
    <w:rsid w:val="00561F2D"/>
    <w:rsid w:val="0056201A"/>
    <w:rsid w:val="005748C5"/>
    <w:rsid w:val="005761D5"/>
    <w:rsid w:val="0057730A"/>
    <w:rsid w:val="00577EB6"/>
    <w:rsid w:val="005825C9"/>
    <w:rsid w:val="005879E6"/>
    <w:rsid w:val="00590FDC"/>
    <w:rsid w:val="0059236B"/>
    <w:rsid w:val="00593D74"/>
    <w:rsid w:val="00594346"/>
    <w:rsid w:val="005963D7"/>
    <w:rsid w:val="005A005E"/>
    <w:rsid w:val="005A1C42"/>
    <w:rsid w:val="005A3242"/>
    <w:rsid w:val="005A6C67"/>
    <w:rsid w:val="005B2F17"/>
    <w:rsid w:val="005B48E9"/>
    <w:rsid w:val="005B7402"/>
    <w:rsid w:val="005C0AE0"/>
    <w:rsid w:val="005C4321"/>
    <w:rsid w:val="005C460B"/>
    <w:rsid w:val="005C784E"/>
    <w:rsid w:val="005D3FB2"/>
    <w:rsid w:val="005E1532"/>
    <w:rsid w:val="005E16F4"/>
    <w:rsid w:val="005E3727"/>
    <w:rsid w:val="005E4394"/>
    <w:rsid w:val="005E5032"/>
    <w:rsid w:val="005E66F8"/>
    <w:rsid w:val="005E6FF7"/>
    <w:rsid w:val="005F0192"/>
    <w:rsid w:val="005F1347"/>
    <w:rsid w:val="005F65C6"/>
    <w:rsid w:val="005F68CD"/>
    <w:rsid w:val="006009E6"/>
    <w:rsid w:val="00613A0A"/>
    <w:rsid w:val="00614262"/>
    <w:rsid w:val="0061590E"/>
    <w:rsid w:val="0061633B"/>
    <w:rsid w:val="006254C3"/>
    <w:rsid w:val="0063518D"/>
    <w:rsid w:val="00640855"/>
    <w:rsid w:val="0064178A"/>
    <w:rsid w:val="00642C20"/>
    <w:rsid w:val="00644238"/>
    <w:rsid w:val="00645E7C"/>
    <w:rsid w:val="00645E8C"/>
    <w:rsid w:val="00654CAF"/>
    <w:rsid w:val="00655D58"/>
    <w:rsid w:val="00657D50"/>
    <w:rsid w:val="00657E92"/>
    <w:rsid w:val="00661BD6"/>
    <w:rsid w:val="00662490"/>
    <w:rsid w:val="00664437"/>
    <w:rsid w:val="00674F3D"/>
    <w:rsid w:val="0067637E"/>
    <w:rsid w:val="00676CA5"/>
    <w:rsid w:val="00680E4C"/>
    <w:rsid w:val="006829F0"/>
    <w:rsid w:val="006832EE"/>
    <w:rsid w:val="006836EE"/>
    <w:rsid w:val="00696923"/>
    <w:rsid w:val="006A2E80"/>
    <w:rsid w:val="006A501D"/>
    <w:rsid w:val="006A5261"/>
    <w:rsid w:val="006A7D4E"/>
    <w:rsid w:val="006B3372"/>
    <w:rsid w:val="006B4FFC"/>
    <w:rsid w:val="006C252A"/>
    <w:rsid w:val="006C35DD"/>
    <w:rsid w:val="006C3E68"/>
    <w:rsid w:val="006C4A7F"/>
    <w:rsid w:val="006C5162"/>
    <w:rsid w:val="006C6A11"/>
    <w:rsid w:val="006D1E81"/>
    <w:rsid w:val="006D1EBB"/>
    <w:rsid w:val="006D272F"/>
    <w:rsid w:val="006D45A0"/>
    <w:rsid w:val="006D6795"/>
    <w:rsid w:val="006D723C"/>
    <w:rsid w:val="006E3383"/>
    <w:rsid w:val="006E5805"/>
    <w:rsid w:val="006E625E"/>
    <w:rsid w:val="006F2818"/>
    <w:rsid w:val="006F5888"/>
    <w:rsid w:val="007037FE"/>
    <w:rsid w:val="00704FDF"/>
    <w:rsid w:val="00707BAF"/>
    <w:rsid w:val="007121C5"/>
    <w:rsid w:val="00717969"/>
    <w:rsid w:val="00721C29"/>
    <w:rsid w:val="007303D1"/>
    <w:rsid w:val="007333A7"/>
    <w:rsid w:val="0073642A"/>
    <w:rsid w:val="00740C6B"/>
    <w:rsid w:val="00741155"/>
    <w:rsid w:val="00743D3F"/>
    <w:rsid w:val="00745A97"/>
    <w:rsid w:val="0074790D"/>
    <w:rsid w:val="00750F82"/>
    <w:rsid w:val="00752CD2"/>
    <w:rsid w:val="00753209"/>
    <w:rsid w:val="007533D2"/>
    <w:rsid w:val="00753BD9"/>
    <w:rsid w:val="0075510A"/>
    <w:rsid w:val="007552D2"/>
    <w:rsid w:val="007565E2"/>
    <w:rsid w:val="00756789"/>
    <w:rsid w:val="007630E1"/>
    <w:rsid w:val="00770437"/>
    <w:rsid w:val="00771FA0"/>
    <w:rsid w:val="0077546C"/>
    <w:rsid w:val="007805A6"/>
    <w:rsid w:val="00781F9D"/>
    <w:rsid w:val="00782AAF"/>
    <w:rsid w:val="00782CE9"/>
    <w:rsid w:val="00783BCA"/>
    <w:rsid w:val="00786626"/>
    <w:rsid w:val="007A030B"/>
    <w:rsid w:val="007A33D3"/>
    <w:rsid w:val="007A359A"/>
    <w:rsid w:val="007A5B00"/>
    <w:rsid w:val="007B145C"/>
    <w:rsid w:val="007B2445"/>
    <w:rsid w:val="007B2841"/>
    <w:rsid w:val="007B42D4"/>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46E0"/>
    <w:rsid w:val="007E5955"/>
    <w:rsid w:val="007E688C"/>
    <w:rsid w:val="007F0634"/>
    <w:rsid w:val="007F3F59"/>
    <w:rsid w:val="007F6AD6"/>
    <w:rsid w:val="0080176A"/>
    <w:rsid w:val="0080293C"/>
    <w:rsid w:val="00803F42"/>
    <w:rsid w:val="00811F9C"/>
    <w:rsid w:val="00812A76"/>
    <w:rsid w:val="008352E1"/>
    <w:rsid w:val="008416DF"/>
    <w:rsid w:val="00843251"/>
    <w:rsid w:val="008438AB"/>
    <w:rsid w:val="00850AA4"/>
    <w:rsid w:val="0085151A"/>
    <w:rsid w:val="0085220D"/>
    <w:rsid w:val="00860A14"/>
    <w:rsid w:val="00861931"/>
    <w:rsid w:val="008653CA"/>
    <w:rsid w:val="00871D6F"/>
    <w:rsid w:val="0088252A"/>
    <w:rsid w:val="008825FA"/>
    <w:rsid w:val="0088471A"/>
    <w:rsid w:val="008851DE"/>
    <w:rsid w:val="00886E71"/>
    <w:rsid w:val="008922C7"/>
    <w:rsid w:val="00892E42"/>
    <w:rsid w:val="008B21C0"/>
    <w:rsid w:val="008B294B"/>
    <w:rsid w:val="008C5A0B"/>
    <w:rsid w:val="008C7EB6"/>
    <w:rsid w:val="008D065B"/>
    <w:rsid w:val="008D1FFD"/>
    <w:rsid w:val="008D257D"/>
    <w:rsid w:val="008D2885"/>
    <w:rsid w:val="008D31AA"/>
    <w:rsid w:val="008D670B"/>
    <w:rsid w:val="008D71C6"/>
    <w:rsid w:val="008D72AC"/>
    <w:rsid w:val="008E4844"/>
    <w:rsid w:val="008E5376"/>
    <w:rsid w:val="008F1E88"/>
    <w:rsid w:val="008F202C"/>
    <w:rsid w:val="00902244"/>
    <w:rsid w:val="0090480F"/>
    <w:rsid w:val="0090615E"/>
    <w:rsid w:val="00906AAE"/>
    <w:rsid w:val="00915300"/>
    <w:rsid w:val="009160B5"/>
    <w:rsid w:val="00917B27"/>
    <w:rsid w:val="00921080"/>
    <w:rsid w:val="00924FDA"/>
    <w:rsid w:val="009302E7"/>
    <w:rsid w:val="00931D4F"/>
    <w:rsid w:val="00931E95"/>
    <w:rsid w:val="00932571"/>
    <w:rsid w:val="009508E4"/>
    <w:rsid w:val="00951185"/>
    <w:rsid w:val="009535B6"/>
    <w:rsid w:val="009547F6"/>
    <w:rsid w:val="00954FC6"/>
    <w:rsid w:val="00956D1F"/>
    <w:rsid w:val="00961765"/>
    <w:rsid w:val="009638A5"/>
    <w:rsid w:val="00965083"/>
    <w:rsid w:val="009733DF"/>
    <w:rsid w:val="00973D22"/>
    <w:rsid w:val="00982026"/>
    <w:rsid w:val="00991332"/>
    <w:rsid w:val="009927A2"/>
    <w:rsid w:val="00995DB0"/>
    <w:rsid w:val="009A0574"/>
    <w:rsid w:val="009A6925"/>
    <w:rsid w:val="009A7421"/>
    <w:rsid w:val="009A7446"/>
    <w:rsid w:val="009B0593"/>
    <w:rsid w:val="009B133C"/>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42C"/>
    <w:rsid w:val="009F772C"/>
    <w:rsid w:val="00A10A9C"/>
    <w:rsid w:val="00A15308"/>
    <w:rsid w:val="00A15FFF"/>
    <w:rsid w:val="00A231F1"/>
    <w:rsid w:val="00A23262"/>
    <w:rsid w:val="00A3086D"/>
    <w:rsid w:val="00A3367E"/>
    <w:rsid w:val="00A411DF"/>
    <w:rsid w:val="00A41C28"/>
    <w:rsid w:val="00A428DF"/>
    <w:rsid w:val="00A45B1C"/>
    <w:rsid w:val="00A45BF6"/>
    <w:rsid w:val="00A519DB"/>
    <w:rsid w:val="00A53001"/>
    <w:rsid w:val="00A552E9"/>
    <w:rsid w:val="00A64BF3"/>
    <w:rsid w:val="00A65A15"/>
    <w:rsid w:val="00A72351"/>
    <w:rsid w:val="00A75A21"/>
    <w:rsid w:val="00A77062"/>
    <w:rsid w:val="00A77459"/>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D646A"/>
    <w:rsid w:val="00AD64D8"/>
    <w:rsid w:val="00AD7329"/>
    <w:rsid w:val="00AE50BC"/>
    <w:rsid w:val="00AE61DB"/>
    <w:rsid w:val="00AE7EF1"/>
    <w:rsid w:val="00AF049C"/>
    <w:rsid w:val="00AF066F"/>
    <w:rsid w:val="00AF4E38"/>
    <w:rsid w:val="00AF524E"/>
    <w:rsid w:val="00B00882"/>
    <w:rsid w:val="00B02778"/>
    <w:rsid w:val="00B04401"/>
    <w:rsid w:val="00B04981"/>
    <w:rsid w:val="00B06673"/>
    <w:rsid w:val="00B074FE"/>
    <w:rsid w:val="00B07C9D"/>
    <w:rsid w:val="00B175D2"/>
    <w:rsid w:val="00B17F13"/>
    <w:rsid w:val="00B20D7F"/>
    <w:rsid w:val="00B22668"/>
    <w:rsid w:val="00B240B4"/>
    <w:rsid w:val="00B30770"/>
    <w:rsid w:val="00B3169C"/>
    <w:rsid w:val="00B34427"/>
    <w:rsid w:val="00B40313"/>
    <w:rsid w:val="00B42C5B"/>
    <w:rsid w:val="00B43B05"/>
    <w:rsid w:val="00B4413F"/>
    <w:rsid w:val="00B45318"/>
    <w:rsid w:val="00B45CBA"/>
    <w:rsid w:val="00B47587"/>
    <w:rsid w:val="00B47B5A"/>
    <w:rsid w:val="00B50513"/>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B0AAC"/>
    <w:rsid w:val="00BB2834"/>
    <w:rsid w:val="00BC2537"/>
    <w:rsid w:val="00BC3780"/>
    <w:rsid w:val="00BC50BF"/>
    <w:rsid w:val="00BC64EE"/>
    <w:rsid w:val="00BC79C8"/>
    <w:rsid w:val="00BD27E5"/>
    <w:rsid w:val="00BD79E4"/>
    <w:rsid w:val="00BE1B93"/>
    <w:rsid w:val="00BE44F0"/>
    <w:rsid w:val="00BE62AC"/>
    <w:rsid w:val="00BE6B8B"/>
    <w:rsid w:val="00BE73A0"/>
    <w:rsid w:val="00BF01CD"/>
    <w:rsid w:val="00BF2939"/>
    <w:rsid w:val="00BF4BB5"/>
    <w:rsid w:val="00BF5D24"/>
    <w:rsid w:val="00C01400"/>
    <w:rsid w:val="00C0239E"/>
    <w:rsid w:val="00C0613D"/>
    <w:rsid w:val="00C106FA"/>
    <w:rsid w:val="00C110E3"/>
    <w:rsid w:val="00C1432E"/>
    <w:rsid w:val="00C17BF6"/>
    <w:rsid w:val="00C20A37"/>
    <w:rsid w:val="00C25408"/>
    <w:rsid w:val="00C25C9A"/>
    <w:rsid w:val="00C275BB"/>
    <w:rsid w:val="00C27966"/>
    <w:rsid w:val="00C3072D"/>
    <w:rsid w:val="00C34E14"/>
    <w:rsid w:val="00C36FA8"/>
    <w:rsid w:val="00C41B19"/>
    <w:rsid w:val="00C4601A"/>
    <w:rsid w:val="00C47040"/>
    <w:rsid w:val="00C47088"/>
    <w:rsid w:val="00C506DD"/>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4ED3"/>
    <w:rsid w:val="00C85F5B"/>
    <w:rsid w:val="00C86229"/>
    <w:rsid w:val="00C934A3"/>
    <w:rsid w:val="00C9513A"/>
    <w:rsid w:val="00C952CD"/>
    <w:rsid w:val="00C97B40"/>
    <w:rsid w:val="00CA0026"/>
    <w:rsid w:val="00CA0DBB"/>
    <w:rsid w:val="00CA3D67"/>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6855"/>
    <w:rsid w:val="00D0142B"/>
    <w:rsid w:val="00D01D40"/>
    <w:rsid w:val="00D02986"/>
    <w:rsid w:val="00D043ED"/>
    <w:rsid w:val="00D053B7"/>
    <w:rsid w:val="00D05C29"/>
    <w:rsid w:val="00D06BDF"/>
    <w:rsid w:val="00D100F9"/>
    <w:rsid w:val="00D10807"/>
    <w:rsid w:val="00D119A0"/>
    <w:rsid w:val="00D17699"/>
    <w:rsid w:val="00D24010"/>
    <w:rsid w:val="00D24FED"/>
    <w:rsid w:val="00D257C4"/>
    <w:rsid w:val="00D25E7F"/>
    <w:rsid w:val="00D26DA5"/>
    <w:rsid w:val="00D2766C"/>
    <w:rsid w:val="00D3366C"/>
    <w:rsid w:val="00D33C14"/>
    <w:rsid w:val="00D34923"/>
    <w:rsid w:val="00D34CE5"/>
    <w:rsid w:val="00D354E1"/>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31EE"/>
    <w:rsid w:val="00DA0636"/>
    <w:rsid w:val="00DB14B6"/>
    <w:rsid w:val="00DB386C"/>
    <w:rsid w:val="00DB38E2"/>
    <w:rsid w:val="00DB3AB3"/>
    <w:rsid w:val="00DB5AEA"/>
    <w:rsid w:val="00DC2062"/>
    <w:rsid w:val="00DC5288"/>
    <w:rsid w:val="00DC624D"/>
    <w:rsid w:val="00DD7512"/>
    <w:rsid w:val="00DE1B04"/>
    <w:rsid w:val="00DE3314"/>
    <w:rsid w:val="00DE56D5"/>
    <w:rsid w:val="00DE68C8"/>
    <w:rsid w:val="00DE6F1F"/>
    <w:rsid w:val="00DF114B"/>
    <w:rsid w:val="00DF18D5"/>
    <w:rsid w:val="00DF6820"/>
    <w:rsid w:val="00E00802"/>
    <w:rsid w:val="00E02018"/>
    <w:rsid w:val="00E02EAD"/>
    <w:rsid w:val="00E06DDD"/>
    <w:rsid w:val="00E1099C"/>
    <w:rsid w:val="00E11633"/>
    <w:rsid w:val="00E11D82"/>
    <w:rsid w:val="00E1207D"/>
    <w:rsid w:val="00E125D4"/>
    <w:rsid w:val="00E13A92"/>
    <w:rsid w:val="00E15516"/>
    <w:rsid w:val="00E15C7D"/>
    <w:rsid w:val="00E20F38"/>
    <w:rsid w:val="00E24B33"/>
    <w:rsid w:val="00E30BDC"/>
    <w:rsid w:val="00E34520"/>
    <w:rsid w:val="00E4101D"/>
    <w:rsid w:val="00E43923"/>
    <w:rsid w:val="00E46029"/>
    <w:rsid w:val="00E50D4B"/>
    <w:rsid w:val="00E50F5C"/>
    <w:rsid w:val="00E5108B"/>
    <w:rsid w:val="00E514DA"/>
    <w:rsid w:val="00E55021"/>
    <w:rsid w:val="00E55148"/>
    <w:rsid w:val="00E605FF"/>
    <w:rsid w:val="00E625BB"/>
    <w:rsid w:val="00E64D28"/>
    <w:rsid w:val="00E70FAB"/>
    <w:rsid w:val="00E772C0"/>
    <w:rsid w:val="00E77912"/>
    <w:rsid w:val="00E86212"/>
    <w:rsid w:val="00E86F7A"/>
    <w:rsid w:val="00E92BC0"/>
    <w:rsid w:val="00E95481"/>
    <w:rsid w:val="00E95487"/>
    <w:rsid w:val="00E9568F"/>
    <w:rsid w:val="00EA09DD"/>
    <w:rsid w:val="00EA630F"/>
    <w:rsid w:val="00EA6F8E"/>
    <w:rsid w:val="00EA706F"/>
    <w:rsid w:val="00EB1635"/>
    <w:rsid w:val="00EB4CD1"/>
    <w:rsid w:val="00EB755A"/>
    <w:rsid w:val="00EB779D"/>
    <w:rsid w:val="00EC2076"/>
    <w:rsid w:val="00EC4642"/>
    <w:rsid w:val="00EC73FE"/>
    <w:rsid w:val="00ED0813"/>
    <w:rsid w:val="00ED085A"/>
    <w:rsid w:val="00ED144B"/>
    <w:rsid w:val="00ED58F6"/>
    <w:rsid w:val="00ED60AD"/>
    <w:rsid w:val="00EE7661"/>
    <w:rsid w:val="00EF0693"/>
    <w:rsid w:val="00EF50D3"/>
    <w:rsid w:val="00EF70A2"/>
    <w:rsid w:val="00F03A70"/>
    <w:rsid w:val="00F066DA"/>
    <w:rsid w:val="00F11FF5"/>
    <w:rsid w:val="00F1422D"/>
    <w:rsid w:val="00F26C30"/>
    <w:rsid w:val="00F4147F"/>
    <w:rsid w:val="00F41A96"/>
    <w:rsid w:val="00F42128"/>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FEC"/>
    <w:rsid w:val="00FA23E9"/>
    <w:rsid w:val="00FA4EC3"/>
    <w:rsid w:val="00FA4F06"/>
    <w:rsid w:val="00FA7B1C"/>
    <w:rsid w:val="00FB12F9"/>
    <w:rsid w:val="00FB2732"/>
    <w:rsid w:val="00FB2E6C"/>
    <w:rsid w:val="00FC1E7B"/>
    <w:rsid w:val="00FC25A2"/>
    <w:rsid w:val="00FC4355"/>
    <w:rsid w:val="00FC4623"/>
    <w:rsid w:val="00FC5A2E"/>
    <w:rsid w:val="00FC77E3"/>
    <w:rsid w:val="00FD1451"/>
    <w:rsid w:val="00FD2080"/>
    <w:rsid w:val="00FD5DC9"/>
    <w:rsid w:val="00FD5EDC"/>
    <w:rsid w:val="00FD672C"/>
    <w:rsid w:val="00FE075F"/>
    <w:rsid w:val="00FE264E"/>
    <w:rsid w:val="00FE6637"/>
    <w:rsid w:val="00FF0160"/>
    <w:rsid w:val="00FF212C"/>
    <w:rsid w:val="00FF40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53</Pages>
  <Words>8725</Words>
  <Characters>49737</Characters>
  <Application>Microsoft Office Word</Application>
  <DocSecurity>0</DocSecurity>
  <Lines>414</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KK</cp:lastModifiedBy>
  <cp:revision>777</cp:revision>
  <dcterms:created xsi:type="dcterms:W3CDTF">2025-02-04T04:53:00Z</dcterms:created>
  <dcterms:modified xsi:type="dcterms:W3CDTF">2025-11-06T16:33:00Z</dcterms:modified>
</cp:coreProperties>
</file>